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
          <w:bCs/>
        </w:rPr>
        <w:t xml:space="preserve">Commodity-Steel Transformers at 12 Hz:</w:t>
      </w:r>
    </w:p>
    <w:p>
      <w:pPr>
        <w:pStyle w:val="BodyText"/>
      </w:pPr>
      <w:r>
        <w:rPr>
          <w:b/>
          <w:bCs/>
        </w:rPr>
        <w:t xml:space="preserve">Breaking the GOES Bottleneck</w:t>
      </w:r>
    </w:p>
    <w:p>
      <w:pPr>
        <w:pStyle w:val="BodyText"/>
      </w:pPr>
      <w:r>
        <w:rPr>
          <w:b/>
          <w:bCs/>
        </w:rPr>
        <w:t xml:space="preserve">Using Proven Bahnstrom Principles</w:t>
      </w:r>
    </w:p>
    <w:p>
      <w:pPr>
        <w:pStyle w:val="BodyText"/>
      </w:pPr>
      <w:r>
        <w:rPr>
          <w:i/>
          <w:iCs/>
        </w:rPr>
        <w:t xml:space="preserve">A Technical White Paper on Low-Frequency AC Grid Architecture</w:t>
      </w:r>
    </w:p>
    <w:p>
      <w:pPr>
        <w:pStyle w:val="BodyText"/>
      </w:pPr>
      <w:r>
        <w:rPr>
          <w:i/>
          <w:iCs/>
        </w:rPr>
        <w:t xml:space="preserve">for Rapid Grid Deployment from Domestic Materials</w:t>
      </w:r>
    </w:p>
    <w:p>
      <w:pPr>
        <w:pStyle w:val="BodyText"/>
      </w:pPr>
      <w:r>
        <w:t xml:space="preserve">March 2026</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3.4 Generation Interface</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which are simpler than DC-to-50Hz equivalents due to reduced switching frequency and relaxed harmonic filtering requirements.</w:t>
      </w:r>
    </w:p>
    <w:p>
      <w:pPr>
        <w:pStyle w:val="BodyText"/>
      </w:pPr>
      <w:r>
        <w:t xml:space="preserve">3.5 Sodium-Ion Storage Integration</w:t>
      </w:r>
    </w:p>
    <w:p>
      <w:pPr>
        <w:pStyle w:val="BodyText"/>
      </w:pPr>
      <w:r>
        <w:t xml:space="preserve">Grid-scale sodium-ion battery storage (a technology now commercially available from multiple U.S. manufacturers)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w:t>
      </w:r>
    </w:p>
    <w:p>
      <w:pPr>
        <w:pStyle w:val="BodyText"/>
      </w:pPr>
      <w:r>
        <w:t xml:space="preserve">3.6 High-Voltage Distribution and Efficiency Gains</w:t>
      </w:r>
    </w:p>
    <w:p>
      <w:pPr>
        <w:pStyle w:val="BodyText"/>
      </w:pPr>
      <w:r>
        <w:t xml:space="preserve">A clean-sheet 12 Hz grid enables a distribution voltage architecture that eliminates an entire tier of transformation and delivers substantial efficiency gains. The target end-use voltage is 600V three-phase wye (347V line-to-neutral), delivered directly to the building panel. This is 2.5x the European 230V standard and 5x the North American 120V standard. The efficiency implications are fundamental: for a given power delivery, current scales as 1/V, and wire losses (I²R) scale as 1/V². At 600V, the same wire carries 5x the power with 1/25th the loss compared to 120V—or equivalently, the same power delivery requires dramatically less copper. Standard North American building wire (THHN/THWN, NM-B) is already rated for 600V; 600V breakers are commodity industrial items. No exotic components are required.</w:t>
      </w:r>
    </w:p>
    <w:p>
      <w:pPr>
        <w:pStyle w:val="BodyText"/>
      </w:pPr>
      <w:r>
        <w:t xml:space="preserve">During the transition period, while existing consumer appliances are designed for 50 or 60 Hz, the architecture deploys rotary frequency converters at the neighborhood distribution level—the same motor-generator technology used in the Bahnstrom system since the 1920s. The 12 Hz backbone delivers bulk power to the neighborhood converter, which outputs 600V three-phase at 50 or 60 Hz (as locally appropriate) for distribution to buildings. This arrangement is transparent to all existing consumer equipment while preserving every advantage of the 12 Hz backbone for generation, transmission, and bulk distribution. As the appliance fleet naturally turns over to inverter-driven and frequency-independent designs, the neighborhood converters can be progressively retired, ultimately delivering 12 Hz at 600V straight to the building panel with no frequency conversion anywhere in the path.</w:t>
      </w:r>
    </w:p>
    <w:p>
      <w:pPr>
        <w:pStyle w:val="BodyText"/>
      </w:pPr>
      <w:r>
        <w:t xml:space="preserve">In the final-state architecture (12 Hz / 600V to the panel), the service entrance transformer is eliminated entirely. The neighborhood converter outputs 600V and that goes straight down the street and into every panel. The entire distribution level between the converter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frequency-independent by design.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DOE national laboratory staff (Sandia, PNNL, or NREL) producing a formal feasibility determination. This is the document that underwrites Congressional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[Author]</w:t>
      </w:r>
    </w:p>
    <w:p>
      <w:pPr>
        <w:pStyle w:val="BodyText"/>
      </w:pPr>
      <w:r>
        <w:t xml:space="preserve">Inquiries: [email]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2026-04-09T06:54:21Z</dcterms:created>
  <dcterms:modified xsi:type="dcterms:W3CDTF">2026-04-09T06:54:21Z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Using Proven Bahnstrom Principles</vt:lpwstr>
  </property>
</Properties>
</file>