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Revision</w:t>
      </w:r>
      <w:r>
        <w:t xml:space="preserve"> </w:t>
      </w:r>
      <w:r>
        <w:t xml:space="preserve">3</w:t>
      </w:r>
      <w:r>
        <w:t xml:space="preserve"> </w:t>
      </w:r>
      <w:r>
        <w:t xml:space="preserve">—</w:t>
      </w:r>
      <w:r>
        <w:t xml:space="preserve"> </w:t>
      </w: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
          <w:bCs/>
        </w:rPr>
        <w:t xml:space="preserve">Commodity-Steel Transformers at 12 Hz:</w:t>
      </w:r>
    </w:p>
    <w:p>
      <w:pPr>
        <w:pStyle w:val="BodyText"/>
      </w:pPr>
      <w:r>
        <w:rPr>
          <w:b/>
          <w:bCs/>
        </w:rPr>
        <w:t xml:space="preserve">Breaking the GOES Bottleneck</w:t>
      </w:r>
    </w:p>
    <w:p>
      <w:pPr>
        <w:pStyle w:val="BodyText"/>
      </w:pPr>
      <w:r>
        <w:rPr>
          <w:b/>
          <w:bCs/>
        </w:rPr>
        <w:t xml:space="preserve">Using Proven Bahnstrom Principles</w:t>
      </w:r>
    </w:p>
    <w:p>
      <w:pPr>
        <w:pStyle w:val="BodyText"/>
      </w:pPr>
      <w:r>
        <w:rPr>
          <w:i/>
          <w:iCs/>
        </w:rPr>
        <w:t xml:space="preserve">A Technical White Paper on Low-Frequency AC Grid Architecture</w:t>
      </w:r>
    </w:p>
    <w:p>
      <w:pPr>
        <w:pStyle w:val="BodyText"/>
      </w:pPr>
      <w:r>
        <w:rPr>
          <w:i/>
          <w:iCs/>
        </w:rPr>
        <w:t xml:space="preserve">for Rapid Grid Deployment from Domestic Materials</w:t>
      </w:r>
    </w:p>
    <w:p>
      <w:pPr>
        <w:pStyle w:val="BodyText"/>
      </w:pPr>
      <w:r>
        <w:t xml:space="preserve">April 2026 — Revision 3</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3.4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
          <w:bCs/>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50 Hz to 12 Hz conversion: a 50-pole motor at 50 Hz and a 12-pole generator at 12 Hz both run at 120 RPM on a common shaft. For 60 Hz to 12 Hz: a 10-pole motor at 60 Hz and a 2-pole generator at 12 Hz both run at 720 RPM—the 60/12 = 5:1 integer ratio enables this with the simplest possible pole combination.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 Hz (or 60/12 Hz) changes the pole counts but not the engineering principles, the materials, or the manufacturing processes.</w:t>
      </w:r>
    </w:p>
    <w:p>
      <w:pPr>
        <w:pStyle w:val="BodyText"/>
      </w:pPr>
      <w:r>
        <w:rPr>
          <w:b/>
          <w:bCs/>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
          <w:iCs/>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
          <w:iCs/>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
          <w:iCs/>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
          <w:iCs/>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
          <w:bCs/>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
          <w:bCs/>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
          <w:bCs/>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3.5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3.6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3.8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4.5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
          <w:bCs/>
        </w:rPr>
        <w:t xml:space="preserve">A.1 The Problem</w:t>
      </w:r>
    </w:p>
    <w:p>
      <w:pPr>
        <w:pStyle w:val="BodyText"/>
      </w:pPr>
      <w:r>
        <w:t xml:space="preserve">Converting a national grid from 50 Hz to 12 Hz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w:t>
      </w:r>
    </w:p>
    <w:p>
      <w:pPr>
        <w:pStyle w:val="BodyText"/>
      </w:pPr>
      <w:r>
        <w:rPr>
          <w:b/>
          <w:bCs/>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
          <w:bCs/>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
          <w:iCs/>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
          <w:iCs/>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
          <w:iCs/>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
          <w:iCs/>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
          <w:iCs/>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
          <w:bCs/>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3.4) delivers power smoothing and frequency stability at the interface between the two grid domains.</w:t>
      </w:r>
    </w:p>
    <w:p>
      <w:pPr>
        <w:pStyle w:val="BodyText"/>
      </w:pPr>
      <w:r>
        <w:t xml:space="preserve">As corridors radiating from a substation are converted one at a time, the 50 Hz domain at that substation shrinks and the 12 Hz domain grows. When all corridors are converted, the bus-tie rotary converter is either repurposed as a grid-forming flywheel at that location, moved to the next substation undergoing conversion, or relocated to an international interconnector as a permanent 50/12 Hz interface. The bus-tie converter fleet, like the temporary conductor stock, is reusable capital equipment that moves through the grid during conversion and finds permanent homes when conversion is complete.</w:t>
      </w:r>
    </w:p>
    <w:p>
      <w:pPr>
        <w:pStyle w:val="BodyText"/>
      </w:pPr>
      <w:r>
        <w:rPr>
          <w:b/>
          <w:bCs/>
        </w:rPr>
        <w:t xml:space="preserve">A.5 Section Sequencing</w:t>
      </w:r>
    </w:p>
    <w:p>
      <w:pPr>
        <w:pStyle w:val="BodyText"/>
      </w:pPr>
      <w:r>
        <w:t xml:space="preserve">Conversion proceeds outward from the first energized 12 Hz generation source:</w:t>
      </w:r>
    </w:p>
    <w:p>
      <w:pPr>
        <w:pStyle w:val="Compact"/>
        <w:numPr>
          <w:ilvl w:val="0"/>
          <w:numId w:val="1001"/>
        </w:numPr>
      </w:pPr>
      <w:r>
        <w:t xml:space="preserve">Convert the corridor connecting the generation source to the nearest major substation.</w:t>
      </w:r>
    </w:p>
    <w:p>
      <w:pPr>
        <w:pStyle w:val="Compact"/>
        <w:numPr>
          <w:ilvl w:val="0"/>
          <w:numId w:val="1001"/>
        </w:numPr>
      </w:pPr>
      <w:r>
        <w:t xml:space="preserve">Install a bus-tie rotary converter at that substation between the new 12 Hz bus and the existing 50 Hz bus.</w:t>
      </w:r>
    </w:p>
    <w:p>
      <w:pPr>
        <w:pStyle w:val="Compact"/>
        <w:numPr>
          <w:ilvl w:val="0"/>
          <w:numId w:val="1001"/>
        </w:numPr>
      </w:pPr>
      <w:r>
        <w:t xml:space="preserve">Convert corridors radiating from the substation, one at a time, using the river diversion method.</w:t>
      </w:r>
    </w:p>
    <w:p>
      <w:pPr>
        <w:pStyle w:val="Compact"/>
        <w:numPr>
          <w:ilvl w:val="0"/>
          <w:numId w:val="1001"/>
        </w:numPr>
      </w:pPr>
      <w:r>
        <w:t xml:space="preserve">As each section converts, its loads transfer to 12 Hz supply. The 50 Hz domain contracts; the 12 Hz domain expands.</w:t>
      </w:r>
    </w:p>
    <w:p>
      <w:pPr>
        <w:pStyle w:val="Compact"/>
        <w:numPr>
          <w:ilvl w:val="0"/>
          <w:numId w:val="1001"/>
        </w:numPr>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
          <w:bCs/>
        </w:rPr>
        <w:t xml:space="preserve">A.6 Outage Budget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
          <w:bCs/>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3 — Using Proven Bahnstrom Principles</vt:lpwstr>
  </property>
</Properties>
</file>