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4EA9" w:rsidRDefault="00324CDF">
      <w:pPr>
        <w:pStyle w:val="Heading1"/>
      </w:pPr>
      <w:bookmarkStart w:id="0" w:name="Xf239af4c6bf231345a956116f3092150d25a68e"/>
      <w:r>
        <w:t>Gender Labor Market Vulnerability in Pakistan: A Comprehensive Analysis Through Global Shock Eras (1991-2024)</w:t>
      </w:r>
    </w:p>
    <w:p w:rsidR="00BC4EA9" w:rsidRDefault="00324CDF">
      <w:pPr>
        <w:pStyle w:val="FirstParagraph"/>
      </w:pPr>
      <w:r>
        <w:rPr>
          <w:b/>
          <w:bCs/>
        </w:rPr>
        <w:t>An empirical examination of gendered labor market disparities using World Bank data</w:t>
      </w:r>
    </w:p>
    <w:p w:rsidR="00BC4EA9" w:rsidRDefault="00324CDF">
      <w:r>
        <w:pict>
          <v:rect id="_x0000_i1025" style="width:0;height:1.5pt" o:hralign="center" o:hrstd="t" o:hr="t"/>
        </w:pict>
      </w:r>
    </w:p>
    <w:p w:rsidR="00BC4EA9" w:rsidRDefault="00324CDF">
      <w:pPr>
        <w:pStyle w:val="Heading2"/>
      </w:pPr>
      <w:bookmarkStart w:id="1" w:name="executive-summary"/>
      <w:r>
        <w:t>Executive Summary</w:t>
      </w:r>
    </w:p>
    <w:p w:rsidR="00BC4EA9" w:rsidRDefault="00324CDF">
      <w:pPr>
        <w:pStyle w:val="FirstParagraph"/>
      </w:pPr>
      <w:r>
        <w:t xml:space="preserve">This analysis presents a novel Gender Labor Market Vulnerability Index for Pakistan, constructed using principal component analysis of seven key labor market indicators spanning 1991-2024. The findings reveal a disturbing upward trajectory in gender-based </w:t>
      </w:r>
      <w:r>
        <w:t>vulnerability, with the index deteriorating from -2.82 in 1991 to 4.00 in 2024—a total shift of 6.82 standard deviations. The COVID-19 pandemic emerges as the most devastating shock for gender equity in Pakistan’s labor market, far surpassing the impact of</w:t>
      </w:r>
      <w:r>
        <w:t xml:space="preserve"> the 2008 financial crisis or the post-9/11 period. While female labor force participation has nearly doubled from 16.7% to 30.2% of male participation rates, this modest progress masks deepening structural inequalities in employment quality, vulnerability</w:t>
      </w:r>
      <w:r>
        <w:t>, and youth unemployment.</w:t>
      </w:r>
    </w:p>
    <w:p w:rsidR="00BC4EA9" w:rsidRDefault="00324CDF">
      <w:pPr>
        <w:pStyle w:val="Heading2"/>
      </w:pPr>
      <w:bookmarkStart w:id="2" w:name="methodology"/>
      <w:bookmarkEnd w:id="1"/>
      <w:r>
        <w:t>Methodology</w:t>
      </w:r>
    </w:p>
    <w:p w:rsidR="00BC4EA9" w:rsidRDefault="00324CDF">
      <w:pPr>
        <w:pStyle w:val="Heading3"/>
      </w:pPr>
      <w:bookmarkStart w:id="3" w:name="index-construction"/>
      <w:r>
        <w:t>Index Construction</w:t>
      </w:r>
    </w:p>
    <w:p w:rsidR="00BC4EA9" w:rsidRDefault="00324CDF">
      <w:pPr>
        <w:pStyle w:val="FirstParagraph"/>
      </w:pPr>
      <w:r>
        <w:t>The Gender Labor Market Vulnerability Index employs principal component analysis (PCA) to distill seven gender-gap indicators into a single composite measure. This approach captures 70.3% of the tota</w:t>
      </w:r>
      <w:r>
        <w:t>l variance in the underlying data, providing a robust aggregate measure of labor market gender inequality.</w:t>
      </w:r>
    </w:p>
    <w:p w:rsidR="00BC4EA9" w:rsidRDefault="00324CDF">
      <w:pPr>
        <w:pStyle w:val="BodyText"/>
      </w:pPr>
      <w:r>
        <w:rPr>
          <w:b/>
          <w:bCs/>
        </w:rPr>
        <w:t>Component Indicators:</w:t>
      </w:r>
      <w:r>
        <w:t xml:space="preserve"> 1. </w:t>
      </w:r>
      <w:r>
        <w:rPr>
          <w:b/>
          <w:bCs/>
        </w:rPr>
        <w:t>Labor Force Participation Rate Gap</w:t>
      </w:r>
      <w:r>
        <w:t xml:space="preserve"> (Female/Male ratio) - Loading: 0.424 2. </w:t>
      </w:r>
      <w:r>
        <w:rPr>
          <w:b/>
          <w:bCs/>
        </w:rPr>
        <w:t>Employment-to-Population Ratio Gap</w:t>
      </w:r>
      <w:r>
        <w:t xml:space="preserve"> (Female/Male r</w:t>
      </w:r>
      <w:r>
        <w:t xml:space="preserve">atio) - Loading: 0.417 3. </w:t>
      </w:r>
      <w:r>
        <w:rPr>
          <w:b/>
          <w:bCs/>
        </w:rPr>
        <w:t>Unemployment Rate Gap</w:t>
      </w:r>
      <w:r>
        <w:t xml:space="preserve"> (Female minus Male, percentage points) - Loading: 0.393 4. </w:t>
      </w:r>
      <w:r>
        <w:rPr>
          <w:b/>
          <w:bCs/>
        </w:rPr>
        <w:t>Youth Unemployment Gap</w:t>
      </w:r>
      <w:r>
        <w:t xml:space="preserve"> (Female minus Male, percentage points) - Loading: 0.203 5. </w:t>
      </w:r>
      <w:r>
        <w:rPr>
          <w:b/>
          <w:bCs/>
        </w:rPr>
        <w:t>Vulnerable Employment Gap</w:t>
      </w:r>
      <w:r>
        <w:t xml:space="preserve"> (Female minus Male, percentage points) - </w:t>
      </w:r>
      <w:r>
        <w:t xml:space="preserve">Loading: 0.386 6. </w:t>
      </w:r>
      <w:r>
        <w:rPr>
          <w:b/>
          <w:bCs/>
        </w:rPr>
        <w:t>Intermediate Education Labor Force Gap</w:t>
      </w:r>
      <w:r>
        <w:t xml:space="preserve"> (Female/Male ratio) - Loading: 0.360 7. </w:t>
      </w:r>
      <w:r>
        <w:rPr>
          <w:b/>
          <w:bCs/>
        </w:rPr>
        <w:t>Advanced Education Labor Force Gap</w:t>
      </w:r>
      <w:r>
        <w:t xml:space="preserve"> (Female/Male ratio) - Loading: 0.415</w:t>
      </w:r>
    </w:p>
    <w:p w:rsidR="00BC4EA9" w:rsidRDefault="00324CDF">
      <w:pPr>
        <w:pStyle w:val="BodyText"/>
      </w:pPr>
      <w:r>
        <w:t>The first principal component (PC1) accounts for over 70% of variance, with all indicat</w:t>
      </w:r>
      <w:r>
        <w:t>ors loading positively. Higher values indicate greater gender vulnerability, meaning wider gaps favoring male labor market outcomes.</w:t>
      </w:r>
    </w:p>
    <w:p w:rsidR="00BC4EA9" w:rsidRDefault="00324CDF">
      <w:pPr>
        <w:pStyle w:val="Heading3"/>
      </w:pPr>
      <w:bookmarkStart w:id="4" w:name="data-source-and-period-selection"/>
      <w:bookmarkEnd w:id="3"/>
      <w:r>
        <w:t>Data Source and Period Selection</w:t>
      </w:r>
    </w:p>
    <w:p w:rsidR="00BC4EA9" w:rsidRDefault="00324CDF">
      <w:pPr>
        <w:pStyle w:val="FirstParagraph"/>
      </w:pPr>
      <w:r>
        <w:t>All data are sourced from the World Bank’s World Development Indicators, utilizing modeled</w:t>
      </w:r>
      <w:r>
        <w:t xml:space="preserve"> International Labour Organization (ILO) estimates for consistency and </w:t>
      </w:r>
      <w:r>
        <w:lastRenderedPageBreak/>
        <w:t>comparability. The analysis period (1991-2024) encompasses three major global shock periods:</w:t>
      </w:r>
    </w:p>
    <w:p w:rsidR="00BC4EA9" w:rsidRDefault="00324CDF">
      <w:pPr>
        <w:pStyle w:val="Compact"/>
        <w:numPr>
          <w:ilvl w:val="0"/>
          <w:numId w:val="2"/>
        </w:numPr>
      </w:pPr>
      <w:r>
        <w:rPr>
          <w:b/>
          <w:bCs/>
        </w:rPr>
        <w:t>9/11 and War on Terror</w:t>
      </w:r>
      <w:r>
        <w:t xml:space="preserve"> (2001-2003)</w:t>
      </w:r>
    </w:p>
    <w:p w:rsidR="00BC4EA9" w:rsidRDefault="00324CDF">
      <w:pPr>
        <w:pStyle w:val="Compact"/>
        <w:numPr>
          <w:ilvl w:val="0"/>
          <w:numId w:val="2"/>
        </w:numPr>
      </w:pPr>
      <w:r>
        <w:rPr>
          <w:b/>
          <w:bCs/>
        </w:rPr>
        <w:t>Global Financial Crisis</w:t>
      </w:r>
      <w:r>
        <w:t xml:space="preserve"> (2007-2009)</w:t>
      </w:r>
      <w:r>
        <w:br/>
      </w:r>
    </w:p>
    <w:p w:rsidR="00BC4EA9" w:rsidRDefault="00324CDF">
      <w:pPr>
        <w:pStyle w:val="Compact"/>
        <w:numPr>
          <w:ilvl w:val="0"/>
          <w:numId w:val="2"/>
        </w:numPr>
      </w:pPr>
      <w:r>
        <w:rPr>
          <w:b/>
          <w:bCs/>
        </w:rPr>
        <w:t>COVID-19 Pandemic</w:t>
      </w:r>
      <w:r>
        <w:t xml:space="preserve"> (2</w:t>
      </w:r>
      <w:r>
        <w:t>019-2021)</w:t>
      </w:r>
    </w:p>
    <w:p w:rsidR="00BC4EA9" w:rsidRDefault="00324CDF">
      <w:pPr>
        <w:pStyle w:val="FirstParagraph"/>
      </w:pPr>
      <w:r>
        <w:t>These shock periods serve as natural experiments to assess how systemic crises differentially impact male and female labor market outcomes in Pakistan’s context.</w:t>
      </w:r>
    </w:p>
    <w:p w:rsidR="00BC4EA9" w:rsidRDefault="00324CDF">
      <w:pPr>
        <w:pStyle w:val="Heading2"/>
      </w:pPr>
      <w:bookmarkStart w:id="5" w:name="key-findings"/>
      <w:bookmarkEnd w:id="2"/>
      <w:bookmarkEnd w:id="4"/>
      <w:r>
        <w:t>Key Findings</w:t>
      </w:r>
    </w:p>
    <w:p w:rsidR="00BC4EA9" w:rsidRDefault="00324CDF">
      <w:pPr>
        <w:pStyle w:val="Heading3"/>
      </w:pPr>
      <w:bookmarkStart w:id="6" w:name="accelerating-gender-vulnerability"/>
      <w:r>
        <w:t>1. Accelerating Gender Vulnerability</w:t>
      </w:r>
    </w:p>
    <w:p w:rsidR="00BC4EA9" w:rsidRDefault="00324CDF">
      <w:pPr>
        <w:pStyle w:val="FirstParagraph"/>
      </w:pPr>
      <w:r>
        <w:t>The Gender Labor Market Vulnerabil</w:t>
      </w:r>
      <w:r>
        <w:t>ity Index has risen from -2.82 in 1991 to 4.00 in 2024, representing a 142% deterioration. This trend contradicts the narrative of linear progress in gender equality. The index remained relatively stable (below 0) from 1991 through 2005, suggesting the ear</w:t>
      </w:r>
      <w:r>
        <w:t>ly 1990s through mid-2000s represented Pakistan’s best period for relative gender parity in labor markets.</w:t>
      </w:r>
    </w:p>
    <w:p w:rsidR="00BC4EA9" w:rsidRDefault="00324CDF">
      <w:pPr>
        <w:pStyle w:val="BodyText"/>
      </w:pPr>
      <w:r>
        <w:rPr>
          <w:b/>
          <w:bCs/>
        </w:rPr>
        <w:t>Critical Inflection Points:</w:t>
      </w:r>
      <w:r>
        <w:t xml:space="preserve"> - </w:t>
      </w:r>
      <w:r>
        <w:rPr>
          <w:b/>
          <w:bCs/>
        </w:rPr>
        <w:t>2006-2007</w:t>
      </w:r>
      <w:r>
        <w:t xml:space="preserve">: The index crossed zero, marking a permanent shift toward heightened vulnerability - </w:t>
      </w:r>
      <w:r>
        <w:rPr>
          <w:b/>
          <w:bCs/>
        </w:rPr>
        <w:t>2012</w:t>
      </w:r>
      <w:r>
        <w:t>: A spike to 3.2 coi</w:t>
      </w:r>
      <w:r>
        <w:t xml:space="preserve">ncided with economic turbulence and rising unemployment across both genders, though women were disproportionately affected - </w:t>
      </w:r>
      <w:r>
        <w:rPr>
          <w:b/>
          <w:bCs/>
        </w:rPr>
        <w:t>2015</w:t>
      </w:r>
      <w:r>
        <w:t>: Another dramatic spike to 3.3, potentially linked to the aftermath of the 2013 general elections and subsequent economic poli</w:t>
      </w:r>
      <w:r>
        <w:t xml:space="preserve">cy shifts - </w:t>
      </w:r>
      <w:r>
        <w:rPr>
          <w:b/>
          <w:bCs/>
        </w:rPr>
        <w:t>2020-2021</w:t>
      </w:r>
      <w:r>
        <w:t>: The COVID-19 period pushed the index to its all-time high of 4.28, from which it has not recovered</w:t>
      </w:r>
    </w:p>
    <w:p w:rsidR="00411E44" w:rsidRDefault="00411E44">
      <w:pPr>
        <w:pStyle w:val="BodyText"/>
      </w:pPr>
      <w:r>
        <w:rPr>
          <w:noProof/>
        </w:rPr>
        <w:lastRenderedPageBreak/>
        <w:drawing>
          <wp:inline distT="0" distB="0" distL="0" distR="0">
            <wp:extent cx="5943600" cy="4449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tailed_gender_gaps.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449445"/>
                    </a:xfrm>
                    <a:prstGeom prst="rect">
                      <a:avLst/>
                    </a:prstGeom>
                  </pic:spPr>
                </pic:pic>
              </a:graphicData>
            </a:graphic>
          </wp:inline>
        </w:drawing>
      </w:r>
    </w:p>
    <w:p w:rsidR="00BC4EA9" w:rsidRDefault="00324CDF">
      <w:pPr>
        <w:pStyle w:val="Heading3"/>
      </w:pPr>
      <w:bookmarkStart w:id="7" w:name="X442a22d2934b753a8c0f0aaa0cc755d5e4714ca"/>
      <w:bookmarkEnd w:id="6"/>
      <w:r>
        <w:t>2. Shock Period Analysis: COVID-19 as an Unprecedented Setback</w:t>
      </w:r>
    </w:p>
    <w:p w:rsidR="00BC4EA9" w:rsidRDefault="00324CDF">
      <w:pPr>
        <w:pStyle w:val="FirstParagraph"/>
      </w:pPr>
      <w:r>
        <w:t>Comparing the three major shock periods reveals stark differences in th</w:t>
      </w:r>
      <w:r>
        <w:t>eir impact on gender vulnerability:</w:t>
      </w:r>
    </w:p>
    <w:p w:rsidR="00BC4EA9" w:rsidRDefault="00324CDF">
      <w:pPr>
        <w:pStyle w:val="BodyText"/>
      </w:pPr>
      <w:r>
        <w:rPr>
          <w:b/>
          <w:bCs/>
        </w:rPr>
        <w:t>9/11 and War on Terror (2001-2003):</w:t>
      </w:r>
      <w:r>
        <w:t xml:space="preserve"> - Average index: -1.98 (still in negative/better territory) - Change: +0.29 (modest deterioration) - Impact: Relatively contained; Pakistan’s labor markets showed resilience</w:t>
      </w:r>
    </w:p>
    <w:p w:rsidR="00BC4EA9" w:rsidRDefault="00324CDF">
      <w:pPr>
        <w:pStyle w:val="BodyText"/>
      </w:pPr>
      <w:r>
        <w:rPr>
          <w:b/>
          <w:bCs/>
        </w:rPr>
        <w:t>2008 Finan</w:t>
      </w:r>
      <w:r>
        <w:rPr>
          <w:b/>
          <w:bCs/>
        </w:rPr>
        <w:t>cial Crisis (2007-2009):</w:t>
      </w:r>
      <w:r>
        <w:t xml:space="preserve"> - Average index: +0.22 (recently turned positive) - Change: +0.30 (similar magnitude to 9/11 period) - Impact: Marked the transition from improving to worsening gender gaps</w:t>
      </w:r>
    </w:p>
    <w:p w:rsidR="00BC4EA9" w:rsidRDefault="00324CDF">
      <w:pPr>
        <w:pStyle w:val="BodyText"/>
      </w:pPr>
      <w:r>
        <w:rPr>
          <w:b/>
          <w:bCs/>
        </w:rPr>
        <w:t>COVID-19 Pandemic (2019-2021):</w:t>
      </w:r>
      <w:r>
        <w:t xml:space="preserve"> - Average index: +2.75 (sev</w:t>
      </w:r>
      <w:r>
        <w:t>erely elevated) - Change: +2.14 (over 7x larger than previous shocks) - Impact: Catastrophic for gender equality; women bore a massively disproportionate burden</w:t>
      </w:r>
    </w:p>
    <w:p w:rsidR="00BC4EA9" w:rsidRDefault="00324CDF">
      <w:pPr>
        <w:pStyle w:val="BodyText"/>
      </w:pPr>
      <w:r>
        <w:t>The COVID-19 shock was not merely more severe but categorically different in nature. The 2.14-p</w:t>
      </w:r>
      <w:r>
        <w:t>oint increase in the vulnerability index during 2019-2021 dwarfs the combined impact of the two previous crises. This suggests that pandemic-related lockdowns, school closures, and healthcare burdens fell disproportionately on women, forcing many out of al</w:t>
      </w:r>
      <w:r>
        <w:t>ready precarious employment.</w:t>
      </w:r>
    </w:p>
    <w:p w:rsidR="00411E44" w:rsidRDefault="00411E44">
      <w:pPr>
        <w:pStyle w:val="Heading3"/>
      </w:pPr>
      <w:bookmarkStart w:id="8" w:name="X1cc41e8e50e2a58b504a63bb441a6fc21053df3"/>
      <w:bookmarkEnd w:id="7"/>
      <w:r>
        <w:lastRenderedPageBreak/>
        <w:t>Visualizations:</w:t>
      </w:r>
    </w:p>
    <w:p w:rsidR="00411E44" w:rsidRDefault="00411E44" w:rsidP="00411E44">
      <w:pPr>
        <w:pStyle w:val="BodyText"/>
      </w:pPr>
      <w:r>
        <w:rPr>
          <w:noProof/>
        </w:rPr>
        <w:drawing>
          <wp:inline distT="0" distB="0" distL="0" distR="0">
            <wp:extent cx="5943600" cy="4230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ender_vulnerability_inde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230370"/>
                    </a:xfrm>
                    <a:prstGeom prst="rect">
                      <a:avLst/>
                    </a:prstGeom>
                  </pic:spPr>
                </pic:pic>
              </a:graphicData>
            </a:graphic>
          </wp:inline>
        </w:drawing>
      </w:r>
    </w:p>
    <w:p w:rsidR="00411E44" w:rsidRPr="00411E44" w:rsidRDefault="00411E44" w:rsidP="00411E44">
      <w:pPr>
        <w:pStyle w:val="BodyText"/>
      </w:pPr>
      <w:r>
        <w:t>The composite Gender Labor Market Vulnerability index showing female and male labor market sub-indices separately, with the combined PCA index highlighting three major shock periods: 9/11, 2008 Financial Crisis, and COVID-19</w:t>
      </w:r>
    </w:p>
    <w:p w:rsidR="00BC4EA9" w:rsidRDefault="00324CDF">
      <w:pPr>
        <w:pStyle w:val="Heading3"/>
      </w:pPr>
      <w:r>
        <w:t>3. Labor Force Participation: Progress Without Parity</w:t>
      </w:r>
    </w:p>
    <w:p w:rsidR="00BC4EA9" w:rsidRDefault="00324CDF">
      <w:pPr>
        <w:pStyle w:val="FirstParagraph"/>
      </w:pPr>
      <w:r>
        <w:t>Female labor force participation relative to male participation has improved from 16.7% in 1991 to 30.2% in 2024. While this represents an 81% increase, it simultaneously reveals that even in 2024, women participate in Pakistan’s formal labor market at les</w:t>
      </w:r>
      <w:r>
        <w:t>s than one-third the rate of men.</w:t>
      </w:r>
      <w:r w:rsidR="00411E44">
        <w:t xml:space="preserve"> </w:t>
      </w:r>
    </w:p>
    <w:p w:rsidR="00BC4EA9" w:rsidRDefault="00324CDF">
      <w:pPr>
        <w:pStyle w:val="BodyText"/>
      </w:pPr>
      <w:r>
        <w:rPr>
          <w:b/>
          <w:bCs/>
        </w:rPr>
        <w:t>Regional Context:</w:t>
      </w:r>
      <w:r>
        <w:t xml:space="preserve"> Pakistan’s female labor force participation rate of approximately 24% (2024) remains among the lowest globally. For comparison, Bangladesh—a country with similar cultural and economic characteristics—has </w:t>
      </w:r>
      <w:r>
        <w:t xml:space="preserve">achieved rates exceeding 35%. This persistent gap cannot be attributed solely to cultural factors but reflects structural barriers including: - Limited access to childcare infrastructure - Gender-segregated employment sectors with limited opportunities in </w:t>
      </w:r>
      <w:r>
        <w:t>“acceptable” fields - Safety concerns in commuting and workplace environments - Legal and regulatory barriers to female entrepreneurship and property ownership</w:t>
      </w:r>
    </w:p>
    <w:p w:rsidR="00BC4EA9" w:rsidRDefault="00324CDF">
      <w:pPr>
        <w:pStyle w:val="BodyText"/>
      </w:pPr>
      <w:r>
        <w:lastRenderedPageBreak/>
        <w:t>The employment-to-population ratio shows a similar pattern, with the female-to-male ratio improv</w:t>
      </w:r>
      <w:r>
        <w:t xml:space="preserve">ing from 16.8% to 29.4%. The near-perfect correlation between participation and employment ratios indicates that women who seek work are approximately as likely as men to find it—the primary barrier is entry into the labor force itself, not discrimination </w:t>
      </w:r>
      <w:r>
        <w:t>in hiring once actively seeking employment.</w:t>
      </w:r>
    </w:p>
    <w:p w:rsidR="00BC4EA9" w:rsidRDefault="00324CDF">
      <w:pPr>
        <w:pStyle w:val="Heading3"/>
      </w:pPr>
      <w:bookmarkStart w:id="9" w:name="unemployment-gaps-a-recent-phenomenon"/>
      <w:bookmarkEnd w:id="8"/>
      <w:r>
        <w:t>4. Unemployment Gaps: A Recent Phenomenon</w:t>
      </w:r>
    </w:p>
    <w:p w:rsidR="00BC4EA9" w:rsidRDefault="00324CDF">
      <w:pPr>
        <w:pStyle w:val="FirstParagraph"/>
      </w:pPr>
      <w:r>
        <w:t>Until 2007, unemployment rates were nearly identical for men and women, often with female rates marginally lower. This changed dramatically post-2008, with the female une</w:t>
      </w:r>
      <w:r>
        <w:t>mployment gap becoming persistently positive (higher female unemployment).</w:t>
      </w:r>
    </w:p>
    <w:p w:rsidR="00BC4EA9" w:rsidRDefault="00324CDF">
      <w:pPr>
        <w:pStyle w:val="BodyText"/>
      </w:pPr>
      <w:r>
        <w:rPr>
          <w:b/>
          <w:bCs/>
        </w:rPr>
        <w:t>Youth Unemployment Crisis:</w:t>
      </w:r>
      <w:r>
        <w:t xml:space="preserve"> </w:t>
      </w:r>
      <w:r>
        <w:t>The youth unemployment gap (ages 15-24) is particularly alarming, reaching 4.5 percentage points in 2020, meaning young women faced unemployment rates 4.5 points higher than young men. This has profound implications: - Lost human capital accumulation durin</w:t>
      </w:r>
      <w:r>
        <w:t>g critical early career years - Discouraged labor force exit, potentially permanent - Intergenerational transmission of gender gaps if young women lack employment role models</w:t>
      </w:r>
    </w:p>
    <w:p w:rsidR="00BC4EA9" w:rsidRDefault="00324CDF">
      <w:pPr>
        <w:pStyle w:val="BodyText"/>
      </w:pPr>
      <w:r>
        <w:t>The 2020 spike to 9.5 percentage points for the general female unemployment gap a</w:t>
      </w:r>
      <w:r>
        <w:t>nd 14.4 points for youth is unprecedented in the dataset and suggests that pandemic-related job losses were heavily concentrated among women, particularly young women in entry-level positions.</w:t>
      </w:r>
    </w:p>
    <w:p w:rsidR="00BC4EA9" w:rsidRDefault="00324CDF">
      <w:pPr>
        <w:pStyle w:val="Heading3"/>
      </w:pPr>
      <w:bookmarkStart w:id="10" w:name="Xb5889cc55415ee18ddfad6a49063518ee864bf8"/>
      <w:bookmarkEnd w:id="9"/>
      <w:r>
        <w:t>5. Vulnerable Employment: A Persistent and Widening Gap</w:t>
      </w:r>
    </w:p>
    <w:p w:rsidR="00BC4EA9" w:rsidRDefault="00324CDF">
      <w:pPr>
        <w:pStyle w:val="FirstParagraph"/>
      </w:pPr>
      <w:r>
        <w:t>Vulnera</w:t>
      </w:r>
      <w:r>
        <w:t>ble employment—defined as own-account workers and contributing family workers without formal employment contracts or social protection—represents one of the most concerning trends. The gap between female and vulnerable employment rates has widened from 9.9</w:t>
      </w:r>
      <w:r>
        <w:t>7 percentage points in 1991 to 22.72 percentage points in 2024, a 128% increase.</w:t>
      </w:r>
    </w:p>
    <w:p w:rsidR="00BC4EA9" w:rsidRDefault="00324CDF">
      <w:pPr>
        <w:pStyle w:val="BodyText"/>
      </w:pPr>
      <w:r>
        <w:rPr>
          <w:b/>
          <w:bCs/>
        </w:rPr>
        <w:t>Structural Interpretation:</w:t>
      </w:r>
      <w:r>
        <w:t xml:space="preserve"> In 2024, nearly three-quarters (73.3%) of employed women work in vulnerable employment, compared to 50.6% of men. This means: - Women disproportiona</w:t>
      </w:r>
      <w:r>
        <w:t>tely lack access to formal employment with benefits, legal protections, and stable income - Economic shocks (like COVID-19) hit women harder due to lack of employment contracts and social safety nets - The quality of women’s employment is deteriorating eve</w:t>
      </w:r>
      <w:r>
        <w:t>n as quantity (labor force participation) slowly improves</w:t>
      </w:r>
    </w:p>
    <w:p w:rsidR="00BC4EA9" w:rsidRDefault="00324CDF">
      <w:pPr>
        <w:pStyle w:val="BodyText"/>
      </w:pPr>
      <w:r>
        <w:t xml:space="preserve">The vulnerable employment gap briefly narrowed during 2000-2007, reaching a low of 3.2 percentage points in 2002. This coincided with Pakistan’s economic boom period under the Musharraf government. </w:t>
      </w:r>
      <w:r>
        <w:t>However, post-2007, the gap has expanded consistently, crossing 20 percentage points in 2015 and remaining elevated since. This suggests that Pakistan’s recent economic growth has been “unequalizing”—generating employment opportunities that are either inac</w:t>
      </w:r>
      <w:r>
        <w:t>cessible to women or of significantly lower quality when women access them.</w:t>
      </w:r>
      <w:bookmarkStart w:id="11" w:name="_GoBack"/>
      <w:bookmarkEnd w:id="11"/>
    </w:p>
    <w:p w:rsidR="00BC4EA9" w:rsidRDefault="00324CDF">
      <w:pPr>
        <w:pStyle w:val="Heading3"/>
      </w:pPr>
      <w:bookmarkStart w:id="12" w:name="X1e108bdc848a894f4db0988c232b699c113e630"/>
      <w:bookmarkEnd w:id="10"/>
      <w:r>
        <w:lastRenderedPageBreak/>
        <w:t>6. Education Gaps: Rising Educational Attainment, Persistent Labor Market Exclusion</w:t>
      </w:r>
    </w:p>
    <w:p w:rsidR="00BC4EA9" w:rsidRDefault="00324CDF">
      <w:pPr>
        <w:pStyle w:val="FirstParagraph"/>
      </w:pPr>
      <w:r>
        <w:t xml:space="preserve">The most paradoxical finding emerges from educational indicators. Women’s representation in the </w:t>
      </w:r>
      <w:r>
        <w:t>labor force with advanced education has surged from 21.1% of men’s levels in 1991 to 62.0% in 2024. For intermediate education, the ratio has risen from 11.5% to 18.9%.</w:t>
      </w:r>
    </w:p>
    <w:p w:rsidR="00BC4EA9" w:rsidRDefault="00324CDF">
      <w:pPr>
        <w:pStyle w:val="BodyText"/>
      </w:pPr>
      <w:r>
        <w:rPr>
          <w:b/>
          <w:bCs/>
        </w:rPr>
        <w:t>The Education-Employment Paradox:</w:t>
      </w:r>
      <w:r>
        <w:t xml:space="preserve"> Despite near-doubling of highly educated women in the</w:t>
      </w:r>
      <w:r>
        <w:t xml:space="preserve"> labor force, the overall vulnerability index has worsened. This indicates: - Educational attainment is necessary but insufficient for labor market equality - Demand-side barriers (discrimination, occupational segregation, workplace culture) remain binding</w:t>
      </w:r>
      <w:r>
        <w:t xml:space="preserve"> constraints - Educated women may be channeled into specific sectors (education, healthcare) that offer fewer advancement opportunities</w:t>
      </w:r>
    </w:p>
    <w:p w:rsidR="00BC4EA9" w:rsidRDefault="00324CDF">
      <w:pPr>
        <w:pStyle w:val="BodyText"/>
      </w:pPr>
      <w:r>
        <w:t>The striking divergence between rising educational parity and rising labor market vulnerability suggests that Pakistan f</w:t>
      </w:r>
      <w:r>
        <w:t>aces an emerging crisis of overqualified, underemployed women. The social and political implications are significant, as educated women with thwarted economic ambitions may become increasingly vocal advocates for structural reform.</w:t>
      </w:r>
    </w:p>
    <w:p w:rsidR="00BC4EA9" w:rsidRDefault="00324CDF">
      <w:pPr>
        <w:pStyle w:val="Heading2"/>
      </w:pPr>
      <w:bookmarkStart w:id="13" w:name="Xf048edfd1a5410a269bfb886f7cb6e34da494b7"/>
      <w:bookmarkEnd w:id="5"/>
      <w:bookmarkEnd w:id="12"/>
      <w:r>
        <w:t>Sub-Index Analysis: Diff</w:t>
      </w:r>
      <w:r>
        <w:t>erential Trends by Gender</w:t>
      </w:r>
    </w:p>
    <w:p w:rsidR="00BC4EA9" w:rsidRDefault="00324CDF">
      <w:pPr>
        <w:pStyle w:val="FirstParagraph"/>
      </w:pPr>
      <w:r>
        <w:t>The decomposition into separate male and female labor market sub-indexes reveals divergent trajectories:</w:t>
      </w:r>
    </w:p>
    <w:p w:rsidR="00BC4EA9" w:rsidRDefault="00324CDF">
      <w:pPr>
        <w:pStyle w:val="BodyText"/>
      </w:pPr>
      <w:r>
        <w:rPr>
          <w:b/>
          <w:bCs/>
        </w:rPr>
        <w:t>Female Labor Market Sub-Index:</w:t>
      </w:r>
      <w:r>
        <w:t xml:space="preserve"> - Shows strong upward trajectory from -0.8 (1991) to +1.2 (2024) - Indicates improving female </w:t>
      </w:r>
      <w:r>
        <w:t>labor market outcomes in absolute terms (rising participation, employment, education) - Vulnerable to sharp negative spikes during crises (2008, 2015, 2020)</w:t>
      </w:r>
    </w:p>
    <w:p w:rsidR="00BC4EA9" w:rsidRDefault="00324CDF">
      <w:pPr>
        <w:pStyle w:val="BodyText"/>
      </w:pPr>
      <w:r>
        <w:rPr>
          <w:b/>
          <w:bCs/>
        </w:rPr>
        <w:t>Male Labor Market Sub-Index:</w:t>
      </w:r>
      <w:r>
        <w:t xml:space="preserve"> - Shows downward trajectory from +0.45 (1991) to +0.15 (2024) - Indica</w:t>
      </w:r>
      <w:r>
        <w:t>tes deteriorating male labor market outcomes in absolute terms - More stable during crisis periods compared to female index</w:t>
      </w:r>
    </w:p>
    <w:p w:rsidR="00BC4EA9" w:rsidRDefault="00324CDF">
      <w:pPr>
        <w:pStyle w:val="BodyText"/>
      </w:pPr>
      <w:r>
        <w:rPr>
          <w:b/>
          <w:bCs/>
        </w:rPr>
        <w:t>Interpretation:</w:t>
      </w:r>
      <w:r>
        <w:t xml:space="preserve"> Both men and women in Pakistan have faced challenging labor market conditions, but women’s outcomes have improved fr</w:t>
      </w:r>
      <w:r>
        <w:t>om a much lower base while remaining highly volatile. Men’s outcomes have gradually worsened, potentially reflecting broader economic stagnation and rising unemployment. The widening vulnerability gap, therefore, reflects not female deterioration but femal</w:t>
      </w:r>
      <w:r>
        <w:t>e improvement that is insufficient to close historical gaps, combined with differential crisis impacts.</w:t>
      </w:r>
    </w:p>
    <w:p w:rsidR="00BC4EA9" w:rsidRDefault="00324CDF">
      <w:pPr>
        <w:pStyle w:val="Heading2"/>
      </w:pPr>
      <w:bookmarkStart w:id="14" w:name="policy-implications"/>
      <w:bookmarkEnd w:id="13"/>
      <w:r>
        <w:t>Policy Implications</w:t>
      </w:r>
    </w:p>
    <w:p w:rsidR="00BC4EA9" w:rsidRDefault="00324CDF">
      <w:pPr>
        <w:pStyle w:val="Heading3"/>
      </w:pPr>
      <w:bookmarkStart w:id="15" w:name="crisis-proofing-womens-employment"/>
      <w:r>
        <w:t>1. Crisis-Proofing Women’s Employment</w:t>
      </w:r>
    </w:p>
    <w:p w:rsidR="00BC4EA9" w:rsidRDefault="00324CDF">
      <w:pPr>
        <w:pStyle w:val="FirstParagraph"/>
      </w:pPr>
      <w:r>
        <w:t>The massively disproportionate impact of COVID-19 on women’s employment demands policy attenti</w:t>
      </w:r>
      <w:r>
        <w:t xml:space="preserve">on to crisis resilience: - </w:t>
      </w:r>
      <w:r>
        <w:rPr>
          <w:b/>
          <w:bCs/>
        </w:rPr>
        <w:t>Formal Employment Incentives:</w:t>
      </w:r>
      <w:r>
        <w:t xml:space="preserve"> Tax credits or subsidies for firms hiring women in formal, contract-based positions with social protection - </w:t>
      </w:r>
      <w:r>
        <w:rPr>
          <w:b/>
          <w:bCs/>
        </w:rPr>
        <w:t>Childcare Infrastructure:</w:t>
      </w:r>
      <w:r>
        <w:t xml:space="preserve"> Establish publicly funded childcare facilities, particularly in </w:t>
      </w:r>
      <w:r>
        <w:lastRenderedPageBreak/>
        <w:t xml:space="preserve">urban centers, to prevent crisis-related labor force exit - </w:t>
      </w:r>
      <w:r>
        <w:rPr>
          <w:b/>
          <w:bCs/>
        </w:rPr>
        <w:t>Unemployment Insurance:</w:t>
      </w:r>
      <w:r>
        <w:t xml:space="preserve"> Extend coverage to informal and vulnerable workers, with specific provisions for women who exit the labor force for caregiving</w:t>
      </w:r>
    </w:p>
    <w:p w:rsidR="00BC4EA9" w:rsidRDefault="00324CDF">
      <w:pPr>
        <w:pStyle w:val="Heading3"/>
      </w:pPr>
      <w:bookmarkStart w:id="16" w:name="X4a1ced89382a43efad12e12dccf9c5ec77b06b6"/>
      <w:bookmarkEnd w:id="15"/>
      <w:r>
        <w:t>2. Addressing the Vulnerable Employment Crisi</w:t>
      </w:r>
      <w:r>
        <w:t>s</w:t>
      </w:r>
    </w:p>
    <w:p w:rsidR="00BC4EA9" w:rsidRDefault="00324CDF">
      <w:pPr>
        <w:pStyle w:val="FirstParagraph"/>
      </w:pPr>
      <w:r>
        <w:t xml:space="preserve">With nearly three-quarters of employed women in vulnerable positions: - </w:t>
      </w:r>
      <w:r>
        <w:rPr>
          <w:b/>
          <w:bCs/>
        </w:rPr>
        <w:t>Formalization Programs:</w:t>
      </w:r>
      <w:r>
        <w:t xml:space="preserve"> Streamlined business registration and tax compliance for women-owned micro-enterprises - </w:t>
      </w:r>
      <w:r>
        <w:rPr>
          <w:b/>
          <w:bCs/>
        </w:rPr>
        <w:t>Social Protection Extension:</w:t>
      </w:r>
      <w:r>
        <w:t xml:space="preserve"> Universal healthcare and pension schemes</w:t>
      </w:r>
      <w:r>
        <w:t xml:space="preserve"> that cover own-account workers - </w:t>
      </w:r>
      <w:r>
        <w:rPr>
          <w:b/>
          <w:bCs/>
        </w:rPr>
        <w:t>Skills Training:</w:t>
      </w:r>
      <w:r>
        <w:t xml:space="preserve"> Technical and vocational training aligned with formal sector demand, particularly in non-traditional sectors for women</w:t>
      </w:r>
    </w:p>
    <w:p w:rsidR="00BC4EA9" w:rsidRDefault="00324CDF">
      <w:pPr>
        <w:pStyle w:val="Heading3"/>
      </w:pPr>
      <w:bookmarkStart w:id="17" w:name="translating-education-into-employment"/>
      <w:bookmarkEnd w:id="16"/>
      <w:r>
        <w:t>3. Translating Education into Employment</w:t>
      </w:r>
    </w:p>
    <w:p w:rsidR="00BC4EA9" w:rsidRDefault="00324CDF">
      <w:pPr>
        <w:pStyle w:val="FirstParagraph"/>
      </w:pPr>
      <w:r>
        <w:t>The education-employment paradox requires tar</w:t>
      </w:r>
      <w:r>
        <w:t xml:space="preserve">geted interventions: - </w:t>
      </w:r>
      <w:r>
        <w:rPr>
          <w:b/>
          <w:bCs/>
        </w:rPr>
        <w:t>Anti-Discrimination Enforcement:</w:t>
      </w:r>
      <w:r>
        <w:t xml:space="preserve"> Strengthen Equal Employment Opportunity legislation with meaningful penalties for violations - </w:t>
      </w:r>
      <w:r>
        <w:rPr>
          <w:b/>
          <w:bCs/>
        </w:rPr>
        <w:t>Quotas and Targets:</w:t>
      </w:r>
      <w:r>
        <w:t xml:space="preserve"> Consider temporary special measures (quotas) in government and public sector hiring -</w:t>
      </w:r>
      <w:r>
        <w:t xml:space="preserve"> </w:t>
      </w:r>
      <w:r>
        <w:rPr>
          <w:b/>
          <w:bCs/>
        </w:rPr>
        <w:t>Workplace Culture Reform:</w:t>
      </w:r>
      <w:r>
        <w:t xml:space="preserve"> Mandate gender-sensitive HR policies, anti-harassment measures, and flexible work arrangements</w:t>
      </w:r>
    </w:p>
    <w:p w:rsidR="00BC4EA9" w:rsidRDefault="00324CDF">
      <w:pPr>
        <w:pStyle w:val="Heading3"/>
      </w:pPr>
      <w:bookmarkStart w:id="18" w:name="X4a5d6014b4dcae41537392817a3d18bab7d88d9"/>
      <w:bookmarkEnd w:id="17"/>
      <w:r>
        <w:t>4. Youth Unemployment as a Strategic Priority</w:t>
      </w:r>
    </w:p>
    <w:p w:rsidR="00BC4EA9" w:rsidRDefault="00324CDF">
      <w:pPr>
        <w:pStyle w:val="FirstParagraph"/>
      </w:pPr>
      <w:r>
        <w:t>The youth unemployment gap of 4-9 percentage points represents a generational setback: -</w:t>
      </w:r>
      <w:r>
        <w:t xml:space="preserve"> </w:t>
      </w:r>
      <w:r>
        <w:rPr>
          <w:b/>
          <w:bCs/>
        </w:rPr>
        <w:t>First Job Programs:</w:t>
      </w:r>
      <w:r>
        <w:t xml:space="preserve"> Subsidized first employment for young women, modeled on successful programs in Morocco and Jordan - </w:t>
      </w:r>
      <w:r>
        <w:rPr>
          <w:b/>
          <w:bCs/>
        </w:rPr>
        <w:t>Apprenticeships:</w:t>
      </w:r>
      <w:r>
        <w:t xml:space="preserve"> Expand apprenticeship programs beyond traditional “female” sectors (textiles, services) to include IT, engineering, an</w:t>
      </w:r>
      <w:r>
        <w:t xml:space="preserve">d skilled trades - </w:t>
      </w:r>
      <w:r>
        <w:rPr>
          <w:b/>
          <w:bCs/>
        </w:rPr>
        <w:t>Entrepreneurship Support:</w:t>
      </w:r>
      <w:r>
        <w:t xml:space="preserve"> Youth-focused business incubators with mentorship, capital access, and regulatory navigation</w:t>
      </w:r>
    </w:p>
    <w:p w:rsidR="00BC4EA9" w:rsidRDefault="00324CDF">
      <w:pPr>
        <w:pStyle w:val="Heading3"/>
      </w:pPr>
      <w:bookmarkStart w:id="19" w:name="X142d4bb0b4c5748a960c2e9731986b143231623"/>
      <w:bookmarkEnd w:id="18"/>
      <w:r>
        <w:t>5. Data-Driven Monitoring and Accountability</w:t>
      </w:r>
    </w:p>
    <w:p w:rsidR="00BC4EA9" w:rsidRDefault="00324CDF">
      <w:pPr>
        <w:pStyle w:val="FirstParagraph"/>
      </w:pPr>
      <w:r>
        <w:t>This analysis demonstrates the value of longitudinal gender-disaggregated</w:t>
      </w:r>
      <w:r>
        <w:t xml:space="preserve"> data: - </w:t>
      </w:r>
      <w:r>
        <w:rPr>
          <w:b/>
          <w:bCs/>
        </w:rPr>
        <w:t>Regular Index Updates:</w:t>
      </w:r>
      <w:r>
        <w:t xml:space="preserve"> Institutionalize quarterly or annual calculation of the Gender Vulnerability Index - </w:t>
      </w:r>
      <w:r>
        <w:rPr>
          <w:b/>
          <w:bCs/>
        </w:rPr>
        <w:t>Provincial Disaggregation:</w:t>
      </w:r>
      <w:r>
        <w:t xml:space="preserve"> Extend analysis to provincial level to identify best practices and target interventions - </w:t>
      </w:r>
      <w:r>
        <w:rPr>
          <w:b/>
          <w:bCs/>
        </w:rPr>
        <w:t>Shock Preparedness:</w:t>
      </w:r>
      <w:r>
        <w:t xml:space="preserve"> De</w:t>
      </w:r>
      <w:r>
        <w:t>velop real-time monitoring during crises with rapid response protocols when female indicators deteriorate sharply</w:t>
      </w:r>
    </w:p>
    <w:p w:rsidR="00BC4EA9" w:rsidRDefault="00324CDF">
      <w:pPr>
        <w:pStyle w:val="Heading2"/>
      </w:pPr>
      <w:bookmarkStart w:id="20" w:name="limitations-and-future-research"/>
      <w:bookmarkEnd w:id="14"/>
      <w:bookmarkEnd w:id="19"/>
      <w:r>
        <w:t>Limitations and Future Research</w:t>
      </w:r>
    </w:p>
    <w:p w:rsidR="00BC4EA9" w:rsidRDefault="00324CDF">
      <w:pPr>
        <w:pStyle w:val="FirstParagraph"/>
      </w:pPr>
      <w:r>
        <w:t>This analysis has several limitations that suggest directions for future research:</w:t>
      </w:r>
    </w:p>
    <w:p w:rsidR="00BC4EA9" w:rsidRDefault="00324CDF">
      <w:pPr>
        <w:numPr>
          <w:ilvl w:val="0"/>
          <w:numId w:val="3"/>
        </w:numPr>
      </w:pPr>
      <w:r>
        <w:rPr>
          <w:b/>
          <w:bCs/>
        </w:rPr>
        <w:t>Sectoral Analysis Absent:</w:t>
      </w:r>
      <w:r>
        <w:t xml:space="preserve"> T</w:t>
      </w:r>
      <w:r>
        <w:t>he aggregate index masks sectoral variation. Are gaps narrowing in some sectors while widening in others? Sectoral decomposition could identify where interventions have the highest return.</w:t>
      </w:r>
    </w:p>
    <w:p w:rsidR="00BC4EA9" w:rsidRDefault="00324CDF">
      <w:pPr>
        <w:numPr>
          <w:ilvl w:val="0"/>
          <w:numId w:val="3"/>
        </w:numPr>
      </w:pPr>
      <w:r>
        <w:rPr>
          <w:b/>
          <w:bCs/>
        </w:rPr>
        <w:lastRenderedPageBreak/>
        <w:t>Urban-Rural Divide:</w:t>
      </w:r>
      <w:r>
        <w:t xml:space="preserve"> World Bank data are national aggregates, maskin</w:t>
      </w:r>
      <w:r>
        <w:t>g potentially vast urban-rural differences in labor market dynamics. Rural women may face entirely different barriers than urban women.</w:t>
      </w:r>
    </w:p>
    <w:p w:rsidR="00BC4EA9" w:rsidRDefault="00324CDF">
      <w:pPr>
        <w:numPr>
          <w:ilvl w:val="0"/>
          <w:numId w:val="3"/>
        </w:numPr>
      </w:pPr>
      <w:r>
        <w:rPr>
          <w:b/>
          <w:bCs/>
        </w:rPr>
        <w:t>Causality vs. Correlation:</w:t>
      </w:r>
      <w:r>
        <w:t xml:space="preserve"> </w:t>
      </w:r>
      <w:r>
        <w:t>While shock periods correlate with index spikes, this analysis cannot establish causation. Rigorous econometric identification strategies (difference-in-differences, synthetic controls) could isolate shock effects from confounding trends.</w:t>
      </w:r>
    </w:p>
    <w:p w:rsidR="00BC4EA9" w:rsidRDefault="00324CDF">
      <w:pPr>
        <w:numPr>
          <w:ilvl w:val="0"/>
          <w:numId w:val="3"/>
        </w:numPr>
      </w:pPr>
      <w:r>
        <w:rPr>
          <w:b/>
          <w:bCs/>
        </w:rPr>
        <w:t>Quality of Employ</w:t>
      </w:r>
      <w:r>
        <w:rPr>
          <w:b/>
          <w:bCs/>
        </w:rPr>
        <w:t>ment:</w:t>
      </w:r>
      <w:r>
        <w:t xml:space="preserve"> Beyond vulnerable vs. formal employment, future work should examine wage gaps, hours worked, occupational segregation, and advancement opportunities.</w:t>
      </w:r>
    </w:p>
    <w:p w:rsidR="00BC4EA9" w:rsidRDefault="00324CDF">
      <w:pPr>
        <w:numPr>
          <w:ilvl w:val="0"/>
          <w:numId w:val="3"/>
        </w:numPr>
      </w:pPr>
      <w:r>
        <w:rPr>
          <w:b/>
          <w:bCs/>
        </w:rPr>
        <w:t>Intersectionality:</w:t>
      </w:r>
      <w:r>
        <w:t xml:space="preserve"> Gender intersects with class, ethnicity, region, and disability status. Future re</w:t>
      </w:r>
      <w:r>
        <w:t>search should examine how multiple marginalized identities compound labor market disadvantage.</w:t>
      </w:r>
    </w:p>
    <w:p w:rsidR="00BC4EA9" w:rsidRDefault="00324CDF">
      <w:pPr>
        <w:pStyle w:val="Heading2"/>
      </w:pPr>
      <w:bookmarkStart w:id="21" w:name="conclusion"/>
      <w:bookmarkEnd w:id="20"/>
      <w:r>
        <w:t>Conclusion</w:t>
      </w:r>
    </w:p>
    <w:p w:rsidR="00BC4EA9" w:rsidRDefault="00324CDF">
      <w:pPr>
        <w:pStyle w:val="FirstParagraph"/>
      </w:pPr>
      <w:r>
        <w:t>Pakistan’s journey toward gender equality in labor markets has been neither linear nor assured. While female labor force participation has risen and e</w:t>
      </w:r>
      <w:r>
        <w:t>ducational attainment has improved dramatically, these gains have been overwhelmed by widening gaps in employment quality, rising unemployment disparities, and catastrophic setbacks during systemic crises—particularly COVID-19.</w:t>
      </w:r>
    </w:p>
    <w:p w:rsidR="00BC4EA9" w:rsidRDefault="00324CDF">
      <w:pPr>
        <w:pStyle w:val="BodyText"/>
      </w:pPr>
      <w:r>
        <w:t>The Gender Labor Market Vuln</w:t>
      </w:r>
      <w:r>
        <w:t>erability Index, having deteriorated by nearly seven standard deviations since 1991, tells a story of lost ground and unrealized potential. Pakistan now faces a critical juncture: absent bold policy interventions, current trajectories suggest continued det</w:t>
      </w:r>
      <w:r>
        <w:t>erioration. Young, educated women entering a labor market that offers primarily vulnerable employment represent both a wasted resource and a source of future social tension.</w:t>
      </w:r>
    </w:p>
    <w:p w:rsidR="00BC4EA9" w:rsidRDefault="00324CDF">
      <w:pPr>
        <w:pStyle w:val="BodyText"/>
      </w:pPr>
      <w:r>
        <w:t>However, the data also offer grounds for cautious optimism. The fact that educatio</w:t>
      </w:r>
      <w:r>
        <w:t>nal gaps are closing rapidly demonstrates that cultural barriers are not immutable. Women are signaling their desire to participate in the formal economy. The challenge for policymakers is to ensure that the economy can absorb this talent productively, equ</w:t>
      </w:r>
      <w:r>
        <w:t>itably, and resiliently.</w:t>
      </w:r>
    </w:p>
    <w:p w:rsidR="00BC4EA9" w:rsidRDefault="00324CDF">
      <w:pPr>
        <w:pStyle w:val="BodyText"/>
      </w:pPr>
      <w:r>
        <w:t>The COVID-19 shock, while devastating, also presents an opportunity. Crises often catalyze policy reforms that seem impossible during normal times. Pakistan can choose to rebuild its labor market in ways that are more inclusive, mo</w:t>
      </w:r>
      <w:r>
        <w:t>re resilient to future shocks, and more aligned with the aspirations of its female population. The alternative—a return to pre-pandemic trajectories of gradually widening vulnerability—would represent both an economic loss and a moral failure.</w:t>
      </w:r>
    </w:p>
    <w:p w:rsidR="00BC4EA9" w:rsidRDefault="00324CDF">
      <w:r>
        <w:pict>
          <v:rect id="_x0000_i1026" style="width:0;height:1.5pt" o:hralign="center" o:hrstd="t" o:hr="t"/>
        </w:pict>
      </w:r>
    </w:p>
    <w:p w:rsidR="00BC4EA9" w:rsidRDefault="00324CDF">
      <w:pPr>
        <w:pStyle w:val="Heading2"/>
      </w:pPr>
      <w:bookmarkStart w:id="22" w:name="technical-appendix"/>
      <w:bookmarkEnd w:id="21"/>
      <w:r>
        <w:lastRenderedPageBreak/>
        <w:t xml:space="preserve">Technical </w:t>
      </w:r>
      <w:r>
        <w:t>Appendix</w:t>
      </w:r>
    </w:p>
    <w:p w:rsidR="00BC4EA9" w:rsidRDefault="00324CDF">
      <w:pPr>
        <w:pStyle w:val="FirstParagraph"/>
      </w:pPr>
      <w:r>
        <w:rPr>
          <w:b/>
          <w:bCs/>
        </w:rPr>
        <w:t>Index Formula:</w:t>
      </w:r>
      <w:r>
        <w:t xml:space="preserve"> GVI = 0.424(LFPR_gap) + 0.417(EPR_gap) + 0.393(Unemp_gap) + 0.203(YouthUnemp_gap) + 0.386(Vuln_gap) + 0.360(IntermediateEdu_gap) + 0.415(AdvancedEdu_gap)</w:t>
      </w:r>
    </w:p>
    <w:p w:rsidR="00BC4EA9" w:rsidRDefault="00324CDF">
      <w:pPr>
        <w:pStyle w:val="BodyText"/>
      </w:pPr>
      <w:r>
        <w:t>Where: - LFPR_gap, EPR_gap, IntermediateEdu_gap, AdvancedEdu_gap are Female/Ma</w:t>
      </w:r>
      <w:r>
        <w:t>le ratios (standardized) - Unemp_gap, YouthUnemp_gap, Vuln_gap are Female minus Male (standardized) - All variables standardized to mean=0, SD=1 before PCA - Loadings are PC1 coefficients from PCA</w:t>
      </w:r>
    </w:p>
    <w:p w:rsidR="00BC4EA9" w:rsidRDefault="00324CDF">
      <w:pPr>
        <w:pStyle w:val="BodyText"/>
      </w:pPr>
      <w:r>
        <w:rPr>
          <w:b/>
          <w:bCs/>
        </w:rPr>
        <w:t>Data Quality Notes:</w:t>
      </w:r>
      <w:r>
        <w:t xml:space="preserve"> - Education indicators interpolated for</w:t>
      </w:r>
      <w:r>
        <w:t xml:space="preserve"> 1991-2005 due to missing data - No extrapolation beyond 2021 for advanced education; 2022-2024 use forward projection based on 2017-2021 trend - All unemployment indicators from ILO modeled estimates with ±2 percentage point confidence intervals</w:t>
      </w:r>
    </w:p>
    <w:p w:rsidR="00BC4EA9" w:rsidRDefault="00324CDF">
      <w:pPr>
        <w:pStyle w:val="BodyText"/>
      </w:pPr>
      <w:r>
        <w:rPr>
          <w:b/>
          <w:bCs/>
        </w:rPr>
        <w:t>Author No</w:t>
      </w:r>
      <w:r>
        <w:rPr>
          <w:b/>
          <w:bCs/>
        </w:rPr>
        <w:t>te:</w:t>
      </w:r>
      <w:r>
        <w:t xml:space="preserve"> This analysis was conducted using World Bank World Development Indicators accessed January 2026. All data, code, and visualizations are available upon request for replication and extension.</w:t>
      </w:r>
      <w:bookmarkEnd w:id="0"/>
      <w:bookmarkEnd w:id="22"/>
    </w:p>
    <w:sectPr w:rsidR="00BC4EA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24CDF" w:rsidRDefault="00324CDF">
      <w:pPr>
        <w:spacing w:after="0"/>
      </w:pPr>
      <w:r>
        <w:separator/>
      </w:r>
    </w:p>
  </w:endnote>
  <w:endnote w:type="continuationSeparator" w:id="0">
    <w:p w:rsidR="00324CDF" w:rsidRDefault="00324CD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24CDF" w:rsidRDefault="00324CDF">
      <w:r>
        <w:separator/>
      </w:r>
    </w:p>
  </w:footnote>
  <w:footnote w:type="continuationSeparator" w:id="0">
    <w:p w:rsidR="00324CDF" w:rsidRDefault="00324C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582C0E4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D10F53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EE051A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C4EA9"/>
    <w:rsid w:val="00324CDF"/>
    <w:rsid w:val="00411E44"/>
    <w:rsid w:val="00BC4EA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8B26F"/>
  <w15:docId w15:val="{C22C6BDD-6653-4D4A-8358-21F9442B3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411E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85666">
      <w:bodyDiv w:val="1"/>
      <w:marLeft w:val="0"/>
      <w:marRight w:val="0"/>
      <w:marTop w:val="0"/>
      <w:marBottom w:val="0"/>
      <w:divBdr>
        <w:top w:val="none" w:sz="0" w:space="0" w:color="auto"/>
        <w:left w:val="none" w:sz="0" w:space="0" w:color="auto"/>
        <w:bottom w:val="none" w:sz="0" w:space="0" w:color="auto"/>
        <w:right w:val="none" w:sz="0" w:space="0" w:color="auto"/>
      </w:divBdr>
      <w:divsChild>
        <w:div w:id="1857111885">
          <w:marLeft w:val="0"/>
          <w:marRight w:val="0"/>
          <w:marTop w:val="0"/>
          <w:marBottom w:val="0"/>
          <w:divBdr>
            <w:top w:val="none" w:sz="0" w:space="0" w:color="auto"/>
            <w:left w:val="none" w:sz="0" w:space="0" w:color="auto"/>
            <w:bottom w:val="none" w:sz="0" w:space="0" w:color="auto"/>
            <w:right w:val="none" w:sz="0" w:space="0" w:color="auto"/>
          </w:divBdr>
          <w:divsChild>
            <w:div w:id="109277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17181">
      <w:bodyDiv w:val="1"/>
      <w:marLeft w:val="0"/>
      <w:marRight w:val="0"/>
      <w:marTop w:val="0"/>
      <w:marBottom w:val="0"/>
      <w:divBdr>
        <w:top w:val="none" w:sz="0" w:space="0" w:color="auto"/>
        <w:left w:val="none" w:sz="0" w:space="0" w:color="auto"/>
        <w:bottom w:val="none" w:sz="0" w:space="0" w:color="auto"/>
        <w:right w:val="none" w:sz="0" w:space="0" w:color="auto"/>
      </w:divBdr>
      <w:divsChild>
        <w:div w:id="2015185336">
          <w:marLeft w:val="0"/>
          <w:marRight w:val="0"/>
          <w:marTop w:val="0"/>
          <w:marBottom w:val="0"/>
          <w:divBdr>
            <w:top w:val="none" w:sz="0" w:space="0" w:color="auto"/>
            <w:left w:val="none" w:sz="0" w:space="0" w:color="auto"/>
            <w:bottom w:val="none" w:sz="0" w:space="0" w:color="auto"/>
            <w:right w:val="none" w:sz="0" w:space="0" w:color="auto"/>
          </w:divBdr>
          <w:divsChild>
            <w:div w:id="133557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867635">
      <w:bodyDiv w:val="1"/>
      <w:marLeft w:val="0"/>
      <w:marRight w:val="0"/>
      <w:marTop w:val="0"/>
      <w:marBottom w:val="0"/>
      <w:divBdr>
        <w:top w:val="none" w:sz="0" w:space="0" w:color="auto"/>
        <w:left w:val="none" w:sz="0" w:space="0" w:color="auto"/>
        <w:bottom w:val="none" w:sz="0" w:space="0" w:color="auto"/>
        <w:right w:val="none" w:sz="0" w:space="0" w:color="auto"/>
      </w:divBdr>
      <w:divsChild>
        <w:div w:id="1915695808">
          <w:marLeft w:val="0"/>
          <w:marRight w:val="0"/>
          <w:marTop w:val="0"/>
          <w:marBottom w:val="0"/>
          <w:divBdr>
            <w:top w:val="none" w:sz="0" w:space="0" w:color="auto"/>
            <w:left w:val="none" w:sz="0" w:space="0" w:color="auto"/>
            <w:bottom w:val="none" w:sz="0" w:space="0" w:color="auto"/>
            <w:right w:val="none" w:sz="0" w:space="0" w:color="auto"/>
          </w:divBdr>
          <w:divsChild>
            <w:div w:id="64581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9</Pages>
  <Words>2633</Words>
  <Characters>15009</Characters>
  <Application>Microsoft Office Word</Application>
  <DocSecurity>0</DocSecurity>
  <Lines>125</Lines>
  <Paragraphs>35</Paragraphs>
  <ScaleCrop>false</ScaleCrop>
  <Company/>
  <LinksUpToDate>false</LinksUpToDate>
  <CharactersWithSpaces>17607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Muhammad Moeed Ur Rehman Khan</cp:lastModifiedBy>
  <cp:revision>2</cp:revision>
  <dcterms:created xsi:type="dcterms:W3CDTF">2026-02-12T13:23:00Z</dcterms:created>
  <dcterms:modified xsi:type="dcterms:W3CDTF">2026-02-23T20:08:00Z</dcterms:modified>
</cp:coreProperties>
</file>