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00"/>
      </w:pPr>
      <w:r>
        <w:rPr>
          <w:rFonts w:ascii="Arial" w:hAnsi="Arial"/>
          <w:b/>
          <w:i w:val="0"/>
          <w:color w:val="3F68FF"/>
          <w:sz w:val="18"/>
        </w:rPr>
        <w:t>CAPSTONE PROJECT  /  ENTERPRISE AI RAG SUPPORT</w:t>
      </w:r>
    </w:p>
    <w:p>
      <w:pPr>
        <w:spacing w:after="80"/>
      </w:pPr>
      <w:r>
        <w:rPr>
          <w:rFonts w:ascii="Arial" w:hAnsi="Arial"/>
          <w:b/>
          <w:i w:val="0"/>
          <w:color w:val="0A1633"/>
          <w:sz w:val="60"/>
        </w:rPr>
        <w:t>SCHOOLTRUST AI</w:t>
      </w:r>
    </w:p>
    <w:p>
      <w:pPr>
        <w:spacing w:after="160"/>
      </w:pPr>
      <w:r>
        <w:rPr>
          <w:rFonts w:ascii="Arial" w:hAnsi="Arial"/>
          <w:b/>
          <w:i w:val="0"/>
          <w:color w:val="1F4D78"/>
          <w:sz w:val="30"/>
        </w:rPr>
        <w:t>Verified Parent Support and Knowledge Improvement System</w:t>
      </w:r>
    </w:p>
    <w:p>
      <w:pPr>
        <w:spacing w:after="560"/>
      </w:pPr>
      <w:r>
        <w:rPr>
          <w:rFonts w:ascii="Arial" w:hAnsi="Arial"/>
          <w:b w:val="0"/>
          <w:i w:val="0"/>
          <w:color w:val="66728A"/>
          <w:sz w:val="22"/>
        </w:rPr>
        <w:t>Evidence for the problem, existing baseline and selected innovation gap.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DE3EE"/>
          <w:left w:val="single" w:sz="5" w:space="0" w:color="DDE3EE"/>
          <w:bottom w:val="single" w:sz="5" w:space="0" w:color="DDE3EE"/>
          <w:right w:val="single" w:sz="5" w:space="0" w:color="DDE3EE"/>
          <w:insideH w:val="single" w:sz="5" w:space="0" w:color="DDE3EE"/>
          <w:insideV w:val="single" w:sz="5" w:space="0" w:color="DDE3EE"/>
        </w:tblBorders>
      </w:tblPr>
      <w:tblGrid>
        <w:gridCol w:w="2324"/>
        <w:gridCol w:w="6803"/>
      </w:tblGrid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Project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Student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Moeen Ahmad Butt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Research method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Official product and documentation review plus case-study observation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Case-study evidence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Umeed school chatbot fee and fallback-answer failure</w:t>
            </w:r>
          </w:p>
        </w:tc>
      </w:tr>
      <w:tr>
        <w:tc>
          <w:tcPr>
            <w:tcW w:type="dxa" w:w="2324"/>
            <w:shd w:fill="EEF2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Version / date</w:t>
            </w:r>
          </w:p>
        </w:tc>
        <w:tc>
          <w:tcPr>
            <w:tcW w:type="dxa" w:w="680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Version 1.0  |  14 July 2026</w:t>
            </w:r>
          </w:p>
        </w:tc>
      </w:tr>
    </w:tbl>
    <w:p>
      <w:pPr>
        <w:spacing w:before="520" w:after="140"/>
      </w:pPr>
      <w:r>
        <w:rPr>
          <w:rFonts w:ascii="Arial" w:hAnsi="Arial"/>
          <w:b/>
          <w:i w:val="0"/>
          <w:color w:val="3F68FF"/>
          <w:sz w:val="22"/>
        </w:rPr>
        <w:t>MARKET VALIDATION AND INNOVATION BRIEF</w:t>
      </w:r>
    </w:p>
    <w:p>
      <w:pPr>
        <w:spacing w:after="0"/>
      </w:pPr>
      <w:r>
        <w:rPr>
          <w:rFonts w:ascii="Calibri" w:hAnsi="Calibri"/>
          <w:b/>
          <w:i w:val="0"/>
          <w:color w:val="0A1633"/>
          <w:sz w:val="21"/>
        </w:rPr>
        <w:t>One focused project. Approved sources. Human-controlled improvement.</w:t>
      </w:r>
    </w:p>
    <w:p>
      <w:r>
        <w:br w:type="page"/>
      </w:r>
    </w:p>
    <w:p>
      <w:pPr>
        <w:pStyle w:val="Heading1"/>
      </w:pPr>
      <w:r>
        <w:t>1. Validated Problem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362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3628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Project implication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Umeed case study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existing school assistant had a knowledge base but still returned a generic office-contact fallback for questions whose answers existed.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Retrieval success and answer quality must be tested, not assumed.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Annual-fund case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One generic amount was incomplete because new admissions and promoted students use different categories.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Critical answers require category clarification and stronger guardrails.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Changing school information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Fees, timings, notices and admissions information can become stale.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Approved sources require effective and expiry dates.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Repeated parent questions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Unsupported questions are usually answered manually but not converted into structured improvements.</w:t>
            </w:r>
          </w:p>
        </w:tc>
        <w:tc>
          <w:tcPr>
            <w:tcW w:type="dxa" w:w="362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Unresolved questions should become prioritised knowledge gaps.</w:t>
            </w:r>
          </w:p>
        </w:tc>
      </w:tr>
    </w:tbl>
    <w:p>
      <w:pPr>
        <w:spacing w:after="0"/>
      </w:pPr>
    </w:p>
    <w:p>
      <w:pPr>
        <w:pStyle w:val="Heading1"/>
      </w:pPr>
      <w:r>
        <w:t>2. Existing Market Baseline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51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Existing capability</w:t>
            </w:r>
          </w:p>
        </w:tc>
        <w:tc>
          <w:tcPr>
            <w:tcW w:type="dxa" w:w="351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remains to demonstrate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Zendesk AI Knowledge Base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Identifies content gaps, detects outdated resources and suggests new topics from support demand.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A student implementation still needs a controlled end-to-end workflow that works on school policy data.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Ada knowledge guidance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Treats unresolved AI conversations as evidence of missing knowledge and emphasises authorised sources and freshness.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capstone must turn this principle into visible gap, approval and effective-date controls.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Intercom content recommendations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Uses unresolved conversations to recommend knowledge improvements ranked by impact.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school prototype needs a simpler, believable administrator approval loop.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n8n evaluation documentation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Supports running AI workflow test datasets and evaluation logic.</w:t>
            </w:r>
          </w:p>
        </w:tc>
        <w:tc>
          <w:tcPr>
            <w:tcW w:type="dxa" w:w="351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The capstone should prove critical school answers through regression tests.</w:t>
            </w:r>
          </w:p>
        </w:tc>
      </w:tr>
    </w:tbl>
    <w:p>
      <w:pPr>
        <w:spacing w:after="0"/>
      </w:pPr>
    </w:p>
    <w:p>
      <w:pPr>
        <w:pStyle w:val="Heading1"/>
      </w:pPr>
      <w:r>
        <w:t>3. Gap Selected for the Capstone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3F68FF"/>
          <w:left w:val="single" w:sz="7" w:space="0" w:color="3F68FF"/>
          <w:bottom w:val="single" w:sz="7" w:space="0" w:color="3F68FF"/>
          <w:right w:val="single" w:sz="7" w:space="0" w:color="3F68FF"/>
          <w:insideH w:val="single" w:sz="7" w:space="0" w:color="3F68FF"/>
          <w:insideV w:val="single" w:sz="7" w:space="0" w:color="3F68FF"/>
        </w:tblBorders>
      </w:tblPr>
      <w:tblGrid>
        <w:gridCol w:w="9866"/>
      </w:tblGrid>
      <w:tr>
        <w:tc>
          <w:tcPr>
            <w:tcW w:type="dxa" w:w="9866"/>
            <w:shd w:fill="EEF2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Selected gap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Small schools need an affordable support workflow that verifies critical public information, records unresolved questions, requires administrator approval, and retests important answers after every knowledge improvement.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195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Ordinary RAG chatbot</w:t>
            </w:r>
          </w:p>
        </w:tc>
        <w:tc>
          <w:tcPr>
            <w:tcW w:type="dxa" w:w="4876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SchoolTrust AI improvement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Retrieves text and generates an answer.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Filters by approval status and effective date before generation.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Uses one confidence approach for every question.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Applies a stronger threshold to fees, dates, timings and policies.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Returns a generic fallback.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Creates or increments a structured knowledge-gap record.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Updates knowledge manually without proof.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Records administrator approval and runs regression questions.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May silently select one conflicting value.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States valid categories separately, asks clarification or escalates.</w:t>
            </w:r>
          </w:p>
        </w:tc>
      </w:tr>
      <w:tr>
        <w:trPr>
          <w:cantSplit w:val="true"/>
        </w:trPr>
        <w:tc>
          <w:tcPr>
            <w:tcW w:type="dxa" w:w="419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Focuses only on conversation.</w:t>
            </w:r>
          </w:p>
        </w:tc>
        <w:tc>
          <w:tcPr>
            <w:tcW w:type="dxa" w:w="48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Provides a knowledge-health dashboard and test results.</w:t>
            </w:r>
          </w:p>
        </w:tc>
      </w:tr>
    </w:tbl>
    <w:p>
      <w:pPr>
        <w:spacing w:after="0"/>
      </w:pPr>
    </w:p>
    <w:p>
      <w:pPr>
        <w:pStyle w:val="Heading1"/>
      </w:pPr>
      <w:r>
        <w:t>4. Innovation Claim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Borders>
          <w:top w:val="single" w:sz="7" w:space="0" w:color="12A879"/>
          <w:left w:val="single" w:sz="7" w:space="0" w:color="12A879"/>
          <w:bottom w:val="single" w:sz="7" w:space="0" w:color="12A879"/>
          <w:right w:val="single" w:sz="7" w:space="0" w:color="12A879"/>
          <w:insideH w:val="single" w:sz="7" w:space="0" w:color="12A879"/>
          <w:insideV w:val="single" w:sz="7" w:space="0" w:color="12A879"/>
        </w:tblBorders>
      </w:tblPr>
      <w:tblGrid>
        <w:gridCol w:w="9866"/>
      </w:tblGrid>
      <w:tr>
        <w:tc>
          <w:tcPr>
            <w:tcW w:type="dxa" w:w="9866"/>
            <w:shd w:fill="E2F8F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Honest positioning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23B"/>
                <w:sz w:val="19"/>
              </w:rPr>
              <w:t>SchoolTrust AI does not claim that RAG, content-gap detection or regression testing are individually new. Its capstone innovation is the school-specific combination of critical-fact assurance, date-valid sources, human-approved knowledge-gap recovery and automatic retesting in one student-feasible workflow.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Innovation dimension</w:t>
            </w:r>
          </w:p>
        </w:tc>
        <w:tc>
          <w:tcPr>
            <w:tcW w:type="dxa" w:w="6520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Implementation evidence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Problem specificity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Different school categories can produce different valid fee answers.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Safety design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Source identifier validation plus 0.82 critical-answer threshold.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Human control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Administrator token, approval form, audit log and no automatic policy authority.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Learning loop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Repeated gap grouping, approved update, re-embedding and regression evaluation.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Commercial relevance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Reduces repetitive office questions while exposing missing or stale support content.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8"/>
              </w:rPr>
              <w:t>Student feasibility</w:t>
            </w:r>
          </w:p>
        </w:tc>
        <w:tc>
          <w:tcPr>
            <w:tcW w:type="dxa" w:w="652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8"/>
              </w:rPr>
              <w:t>One school, three webhooks, one database, one static interface and 38 n8n nodes.</w:t>
            </w:r>
          </w:p>
        </w:tc>
      </w:tr>
    </w:tbl>
    <w:p>
      <w:pPr>
        <w:spacing w:after="0"/>
      </w:pPr>
    </w:p>
    <w:p>
      <w:pPr>
        <w:pStyle w:val="Heading1"/>
      </w:pPr>
      <w:r>
        <w:t>5. Research Sources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DE3EE"/>
          <w:left w:val="single" w:sz="7" w:space="0" w:color="DDE3EE"/>
          <w:bottom w:val="single" w:sz="7" w:space="0" w:color="DDE3EE"/>
          <w:right w:val="single" w:sz="7" w:space="0" w:color="DDE3EE"/>
          <w:insideH w:val="single" w:sz="7" w:space="0" w:color="DDE3EE"/>
          <w:insideV w:val="single" w:sz="7" w:space="0" w:color="DDE3EE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814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Organisation</w:t>
            </w:r>
          </w:p>
        </w:tc>
        <w:tc>
          <w:tcPr>
            <w:tcW w:type="dxa" w:w="7257"/>
            <w:shd w:fill="0A163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Zendesk</w:t>
            </w:r>
          </w:p>
        </w:tc>
        <w:tc>
          <w:tcPr>
            <w:tcW w:type="dxa" w:w="725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https://www.zendesk.com/service/help-center/ai-knowledge-base/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Ada</w:t>
            </w:r>
          </w:p>
        </w:tc>
        <w:tc>
          <w:tcPr>
            <w:tcW w:type="dxa" w:w="725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https://www.ada.cx/blog/crafting-a-smarter-knowledge-base-the-key-to-ai-customer-service-software-that-works/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Intercom</w:t>
            </w:r>
          </w:p>
        </w:tc>
        <w:tc>
          <w:tcPr>
            <w:tcW w:type="dxa" w:w="725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https://www.intercom.com/help/en/articles/11394959-use-ai-powered-content-recommendations-to-improve-fin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7223B"/>
                <w:sz w:val="17"/>
              </w:rPr>
              <w:t>n8n</w:t>
            </w:r>
          </w:p>
        </w:tc>
        <w:tc>
          <w:tcPr>
            <w:tcW w:type="dxa" w:w="725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7223B"/>
                <w:sz w:val="17"/>
              </w:rPr>
              <w:t>https://docs.n8n.io/build/integrate-ai/test-and-improve-ai-workflows/understand-why-to-test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Calibri" w:hAnsi="Calibri"/>
          <w:b/>
          <w:i w:val="0"/>
          <w:color w:val="1F4D78"/>
          <w:sz w:val="18"/>
        </w:rPr>
        <w:t xml:space="preserve">Research limitation: </w:t>
      </w:r>
      <w:r>
        <w:rPr>
          <w:rFonts w:ascii="Calibri" w:hAnsi="Calibri"/>
          <w:b w:val="0"/>
          <w:i w:val="0"/>
          <w:color w:val="66728A"/>
          <w:sz w:val="18"/>
        </w:rPr>
        <w:t>This review establishes a credible product gap for a capstone. It is not a patent search and does not support a claim of worldwide novelty.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28A"/>
        <w:sz w:val="17"/>
      </w:rPr>
      <w:t xml:space="preserve">Moeen Ahmad Butt  |  SchoolTrust AI  |  Page </w:t>
    </w:r>
    <w:r>
      <w:rPr>
        <w:rFonts w:ascii="Calibri" w:hAnsi="Calibri"/>
        <w:b w:val="0"/>
        <w:i w:val="0"/>
        <w:color w:val="66728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DE3EE"/>
      </w:pBdr>
    </w:pPr>
    <w:r>
      <w:rPr>
        <w:rFonts w:ascii="Arial" w:hAnsi="Arial"/>
        <w:b/>
        <w:i w:val="0"/>
        <w:color w:val="66728A"/>
        <w:sz w:val="16"/>
      </w:rPr>
      <w:t>MARKET VALIDATION AND INNOVATION BRIEF  |  SCHOOLTRUST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F68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F68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