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A41641" w14:textId="77777777" w:rsidR="005674BA" w:rsidRPr="00DA1186" w:rsidRDefault="00D312C8">
      <w:pPr>
        <w:spacing w:after="80"/>
        <w:ind w:firstLine="288"/>
        <w:jc w:val="center"/>
        <w:rPr>
          <w:b/>
          <w:bCs/>
          <w:sz w:val="48"/>
          <w:szCs w:val="48"/>
        </w:rPr>
      </w:pPr>
      <w:r w:rsidRPr="00DA1186">
        <w:rPr>
          <w:b/>
          <w:bCs/>
          <w:sz w:val="48"/>
          <w:szCs w:val="48"/>
        </w:rPr>
        <w:t>Interpretable Rules for Rare Build-Up Failures in Football: Sequential Pattern Mining Meets Inductive Logic Programming</w:t>
      </w:r>
    </w:p>
    <w:p w14:paraId="10F6A770" w14:textId="77777777" w:rsidR="00D312C8" w:rsidRPr="000377B9" w:rsidRDefault="00D312C8" w:rsidP="000377B9">
      <w:pPr>
        <w:spacing w:before="160" w:after="80"/>
        <w:ind w:firstLine="288"/>
        <w:jc w:val="center"/>
        <w:rPr>
          <w:sz w:val="22"/>
          <w:szCs w:val="24"/>
        </w:rPr>
      </w:pPr>
      <w:proofErr w:type="spellStart"/>
      <w:r>
        <w:rPr>
          <w:sz w:val="22"/>
          <w:szCs w:val="24"/>
        </w:rPr>
        <w:t>Moein</w:t>
      </w:r>
      <w:proofErr w:type="spellEnd"/>
      <w:r>
        <w:rPr>
          <w:sz w:val="22"/>
          <w:szCs w:val="24"/>
        </w:rPr>
        <w:t xml:space="preserve"> </w:t>
      </w:r>
      <w:proofErr w:type="spellStart"/>
      <w:r>
        <w:rPr>
          <w:sz w:val="22"/>
          <w:szCs w:val="24"/>
        </w:rPr>
        <w:t>Hassanpour</w:t>
      </w:r>
      <w:proofErr w:type="spellEnd"/>
      <w:r>
        <w:rPr>
          <w:sz w:val="22"/>
          <w:szCs w:val="24"/>
        </w:rPr>
        <w:br/>
        <w:t>Department of Computer Engineering</w:t>
      </w:r>
      <w:r>
        <w:rPr>
          <w:sz w:val="22"/>
          <w:szCs w:val="24"/>
        </w:rPr>
        <w:br/>
      </w:r>
      <w:proofErr w:type="spellStart"/>
      <w:r>
        <w:rPr>
          <w:sz w:val="22"/>
          <w:szCs w:val="24"/>
        </w:rPr>
        <w:t>Shahrood</w:t>
      </w:r>
      <w:proofErr w:type="spellEnd"/>
      <w:r>
        <w:rPr>
          <w:sz w:val="22"/>
          <w:szCs w:val="24"/>
        </w:rPr>
        <w:t xml:space="preserve"> University of Technology, </w:t>
      </w:r>
      <w:proofErr w:type="spellStart"/>
      <w:r>
        <w:rPr>
          <w:sz w:val="22"/>
          <w:szCs w:val="24"/>
        </w:rPr>
        <w:t>Shahrood</w:t>
      </w:r>
      <w:proofErr w:type="spellEnd"/>
      <w:r>
        <w:rPr>
          <w:sz w:val="22"/>
          <w:szCs w:val="24"/>
        </w:rPr>
        <w:t>, Iran</w:t>
      </w:r>
      <w:r>
        <w:rPr>
          <w:sz w:val="18"/>
          <w:szCs w:val="20"/>
        </w:rPr>
        <w:br/>
      </w:r>
      <w:r>
        <w:rPr>
          <w:sz w:val="22"/>
          <w:szCs w:val="20"/>
        </w:rPr>
        <w:t>moein.hp@outlook.com</w:t>
      </w:r>
    </w:p>
    <w:p w14:paraId="618235D9" w14:textId="77777777" w:rsidR="005674BA" w:rsidRDefault="00D312C8">
      <w:pPr>
        <w:spacing w:after="80"/>
        <w:ind w:firstLine="288"/>
        <w:jc w:val="both"/>
      </w:pPr>
      <w:r>
        <w:rPr>
          <w:b/>
        </w:rPr>
        <w:t>Abstract—</w:t>
      </w:r>
      <w:r>
        <w:rPr>
          <w:rFonts w:hint="cs"/>
          <w:b/>
          <w:rtl/>
        </w:rPr>
        <w:t xml:space="preserve"> </w:t>
      </w:r>
      <w:proofErr w:type="gramStart"/>
      <w:r>
        <w:t>Rare</w:t>
      </w:r>
      <w:proofErr w:type="gramEnd"/>
      <w:r>
        <w:t xml:space="preserve"> but costly build-up failures are difficult to detect in routine video review because each configuration may occur only a few times in a season. We present a leakage-controlled hybrid method that converts </w:t>
      </w:r>
      <w:proofErr w:type="spellStart"/>
      <w:r>
        <w:t>StatsBomb</w:t>
      </w:r>
      <w:proofErr w:type="spellEnd"/>
      <w:r>
        <w:t xml:space="preserve"> event and 360 data into Prolog facts, mines gap-constrained ordered patterns within each training fold, and uses Popper inductive logic programming with minimum description length (MDL) to learn short, auditable rules for sequences ending in an unrecovered loss of possession in a team’s own half. Five methodological safeguards and human review of every rule are integral to the design. On Barcelona 2020/21 and Bayer Leverkusen 2023/24, the hybrid reaches 25.3% precision against a 13.4% base rate for Barcelona (lift 1.89; reported confidence interval above 1) and is comparable to the baselines. For Leverkusen, lift is 1.26 and no method is a stable winner. Recall is deliberately low (5–17%). An AFC-certified coach approved 7 of 12 reviewed rules, including four conditionally. An aggregate risk model has held-out AUCs of 0.566 and 0.556. The system is a hypothesis generator for video review, not a predictor; absence of full tracking limits accuracy.</w:t>
      </w:r>
    </w:p>
    <w:p w14:paraId="5B58AE95" w14:textId="77777777" w:rsidR="005674BA" w:rsidRDefault="00D312C8">
      <w:r>
        <w:rPr>
          <w:b/>
          <w:sz w:val="18"/>
        </w:rPr>
        <w:t>Keywords—</w:t>
      </w:r>
      <w:r>
        <w:rPr>
          <w:sz w:val="18"/>
        </w:rPr>
        <w:t xml:space="preserve"> football build-up, inductive logic programming, sequential pattern mining, interpretability, </w:t>
      </w:r>
      <w:proofErr w:type="spellStart"/>
      <w:r>
        <w:rPr>
          <w:sz w:val="18"/>
        </w:rPr>
        <w:t>StatsBomb</w:t>
      </w:r>
      <w:proofErr w:type="spellEnd"/>
      <w:r>
        <w:rPr>
          <w:sz w:val="18"/>
        </w:rPr>
        <w:t xml:space="preserve"> 360</w:t>
      </w:r>
    </w:p>
    <w:p w14:paraId="336DDA27" w14:textId="77777777" w:rsidR="005674BA" w:rsidRDefault="005674BA">
      <w:pPr>
        <w:spacing w:after="80"/>
        <w:ind w:firstLine="288"/>
        <w:sectPr w:rsidR="005674BA">
          <w:headerReference w:type="even" r:id="rId8"/>
          <w:headerReference w:type="default" r:id="rId9"/>
          <w:footerReference w:type="even" r:id="rId10"/>
          <w:footerReference w:type="default" r:id="rId11"/>
          <w:headerReference w:type="first" r:id="rId12"/>
          <w:footerReference w:type="first" r:id="rId13"/>
          <w:pgSz w:w="11905" w:h="16838"/>
          <w:pgMar w:top="1080" w:right="891" w:bottom="1440" w:left="891" w:header="720" w:footer="720" w:gutter="0"/>
          <w:cols w:space="720"/>
          <w:titlePg/>
          <w:docGrid w:linePitch="360"/>
        </w:sectPr>
      </w:pPr>
    </w:p>
    <w:p w14:paraId="1856C750" w14:textId="77777777" w:rsidR="005674BA" w:rsidRDefault="00D312C8">
      <w:pPr>
        <w:pStyle w:val="Heading1"/>
        <w:jc w:val="center"/>
      </w:pPr>
      <w:r>
        <w:rPr>
          <w:rFonts w:ascii="Times New Roman" w:hAnsi="Times New Roman"/>
        </w:rPr>
        <w:t>1. Introduction</w:t>
      </w:r>
    </w:p>
    <w:p w14:paraId="542903EE" w14:textId="77777777" w:rsidR="005674BA" w:rsidRDefault="00D312C8">
      <w:pPr>
        <w:spacing w:after="80"/>
        <w:ind w:firstLine="288"/>
        <w:jc w:val="both"/>
      </w:pPr>
      <w:r>
        <w:t>Losing possession in one’s own half during build-up is a particularly concerning moment for coaches: defenders have little time to reorganize and the opponent is close to goal. The number of players behind the ball has been reported as an important factor in counterattacks after a turnover [2]. Frequent patterns are familiar to coaches, but rare multi-action configurations—a two- or three-action sequence seen only a few times in a season—can escape both memory and routine video review, even though one occurrence may lead to a goal.</w:t>
      </w:r>
    </w:p>
    <w:p w14:paraId="4488A052" w14:textId="77777777" w:rsidR="005674BA" w:rsidRDefault="00D312C8">
      <w:pPr>
        <w:spacing w:after="80"/>
        <w:ind w:firstLine="288"/>
        <w:jc w:val="both"/>
      </w:pPr>
      <w:r>
        <w:t>Common approaches assign numerical value to each action or use black-box models that require many examples. We study a different regime: one team, one season, and only about 175–177 negative examples, using free data and an output that can be read and audited. Inductive logic programming (ILP) can learn readable logic programs from limited data [4], but direct search over action sequences is combinatorial. We convert gap-constrained sequential patterns into predicates and ask Popper to select a compact subset. To our knowledge, this combination has not previously been reported for build-up failures. We make no claim of predictive or causal superiority.</w:t>
      </w:r>
    </w:p>
    <w:p w14:paraId="487B41FB" w14:textId="77777777" w:rsidR="005674BA" w:rsidRDefault="00D312C8">
      <w:pPr>
        <w:spacing w:after="80"/>
        <w:ind w:firstLine="288"/>
        <w:jc w:val="both"/>
      </w:pPr>
      <w:r>
        <w:t xml:space="preserve">Our contributions are: (1) a leakage-controlled hybrid pipeline with five safeguards (Fig. 1); (2) a two-team-season evaluation against the miner alone, Popper without mined patterns, and CART; (3) modular background knowledge that analysts can activate or filter without changing the learner; and (4) coach review that also records insights from rejected rules. We ask: RQ1, do concise rules exceed the outcome base rate out of fold? </w:t>
      </w:r>
      <w:r>
        <w:t>RQ2, do both hybrid components add value? RQ3, which rules does a coach find meaningful and actionable?</w:t>
      </w:r>
    </w:p>
    <w:p w14:paraId="3B9F0C02" w14:textId="77777777" w:rsidR="005674BA" w:rsidRDefault="00D312C8">
      <w:pPr>
        <w:pStyle w:val="Heading1"/>
        <w:jc w:val="center"/>
      </w:pPr>
      <w:r>
        <w:rPr>
          <w:rFonts w:ascii="Times New Roman" w:hAnsi="Times New Roman"/>
        </w:rPr>
        <w:t>2. Related Work</w:t>
      </w:r>
    </w:p>
    <w:p w14:paraId="5F9C69B0" w14:textId="77777777" w:rsidR="005674BA" w:rsidRDefault="00D312C8">
      <w:pPr>
        <w:spacing w:after="80"/>
        <w:ind w:firstLine="288"/>
        <w:jc w:val="both"/>
      </w:pPr>
      <w:r>
        <w:t>Action valuation. VAEP measures changes in scoring probability over the next actions [7], while expected threat (</w:t>
      </w:r>
      <w:proofErr w:type="spellStart"/>
      <w:r>
        <w:t>xT</w:t>
      </w:r>
      <w:proofErr w:type="spellEnd"/>
      <w:r>
        <w:t xml:space="preserve">) values ball movement between pitch zones [20]; </w:t>
      </w:r>
      <w:proofErr w:type="spellStart"/>
      <w:r>
        <w:t>xT</w:t>
      </w:r>
      <w:proofErr w:type="spellEnd"/>
      <w:r>
        <w:t xml:space="preserve"> values only progressive actions [23]. These methods provide numerical scores but do not describe the configuration in which a sequence breaks down. Following </w:t>
      </w:r>
      <w:proofErr w:type="spellStart"/>
      <w:r>
        <w:t>Rudin</w:t>
      </w:r>
      <w:proofErr w:type="spellEnd"/>
      <w:r>
        <w:t xml:space="preserve"> [19], we prefer an intrinsically interpretable model.</w:t>
      </w:r>
    </w:p>
    <w:p w14:paraId="0E8F714A" w14:textId="77777777" w:rsidR="005674BA" w:rsidRDefault="00D312C8">
      <w:pPr>
        <w:spacing w:after="80"/>
        <w:ind w:firstLine="288"/>
        <w:jc w:val="both"/>
      </w:pPr>
      <w:r>
        <w:t xml:space="preserve">Tactics and defensive transitions. </w:t>
      </w:r>
      <w:proofErr w:type="spellStart"/>
      <w:r>
        <w:t>Decroos</w:t>
      </w:r>
      <w:proofErr w:type="spellEnd"/>
      <w:r>
        <w:t xml:space="preserve"> et al. [8] discover attacking tactics by clustering phases. Biermann et al. [2] predict counterattacks with logistic regression over comprehensible features. Dash et al. [6] study 2,413 defensive transitions by Barcelona and Real Madrid using spatial indicators and gradient boosting on tracking data. These outputs are clusters, weights, or scores rather than logic rules. Our spatial layer relies on 360 frames that record only players in view [21].</w:t>
      </w:r>
    </w:p>
    <w:p w14:paraId="2FF9CA06" w14:textId="77777777" w:rsidR="005674BA" w:rsidRDefault="00D312C8">
      <w:pPr>
        <w:spacing w:after="80"/>
        <w:ind w:firstLine="288"/>
        <w:jc w:val="both"/>
      </w:pPr>
      <w:r>
        <w:t xml:space="preserve">ILP in sport. ILP learns logic theories from examples and background knowledge [16]. Popper prunes the hypothesis space by learning from failures [5], uses </w:t>
      </w:r>
      <w:proofErr w:type="spellStart"/>
      <w:r>
        <w:t>Clingo</w:t>
      </w:r>
      <w:proofErr w:type="spellEnd"/>
      <w:r>
        <w:t xml:space="preserve"> for solving [10], and supports MDL programs for noisy data [11]. In sport, </w:t>
      </w:r>
      <w:proofErr w:type="spellStart"/>
      <w:r>
        <w:t>Vercruyssen</w:t>
      </w:r>
      <w:proofErr w:type="spellEnd"/>
      <w:r>
        <w:t xml:space="preserve"> et al. [24] combine qualitative spatial reasoning and ILP for pass prediction, Van </w:t>
      </w:r>
      <w:proofErr w:type="spellStart"/>
      <w:r>
        <w:t>Haaren</w:t>
      </w:r>
      <w:proofErr w:type="spellEnd"/>
      <w:r>
        <w:t xml:space="preserve"> et al. [22] discover attacking patterns with ILP, and Jacobs et al. [12] use ILP to verify agent behavior in </w:t>
      </w:r>
      <w:proofErr w:type="spellStart"/>
      <w:r>
        <w:t>RoboCup</w:t>
      </w:r>
      <w:proofErr w:type="spellEnd"/>
      <w:r>
        <w:t>. None targets build-up failure.</w:t>
      </w:r>
    </w:p>
    <w:p w14:paraId="1CC80D1E" w14:textId="77777777" w:rsidR="005674BA" w:rsidRDefault="00D312C8">
      <w:pPr>
        <w:spacing w:after="80"/>
        <w:ind w:firstLine="288"/>
        <w:jc w:val="both"/>
      </w:pPr>
      <w:r>
        <w:t xml:space="preserve">Sequential patterns and evaluation. Emerging patterns are </w:t>
      </w:r>
      <w:proofErr w:type="spellStart"/>
      <w:r>
        <w:t>itemsets</w:t>
      </w:r>
      <w:proofErr w:type="spellEnd"/>
      <w:r>
        <w:t xml:space="preserve"> whose support rises sharply between classes [9], making growth rate a natural criterion for patterns that </w:t>
      </w:r>
      <w:r>
        <w:lastRenderedPageBreak/>
        <w:t xml:space="preserve">distinguish failed sequences. </w:t>
      </w:r>
      <w:proofErr w:type="spellStart"/>
      <w:r>
        <w:t>PrefixSpan</w:t>
      </w:r>
      <w:proofErr w:type="spellEnd"/>
      <w:r>
        <w:t xml:space="preserve"> [17] and gap-constrained generalizations [1] grow patterns through projected prefixes. Data leakage can produce optimistic results [13], while random cross-validation underestimates error for dependent data [18]; we therefore split by match.</w:t>
      </w:r>
    </w:p>
    <w:p w14:paraId="41ABEF92" w14:textId="77777777" w:rsidR="005674BA" w:rsidRDefault="00D312C8">
      <w:pPr>
        <w:pStyle w:val="Heading1"/>
        <w:jc w:val="center"/>
      </w:pPr>
      <w:r>
        <w:rPr>
          <w:rFonts w:ascii="Times New Roman" w:hAnsi="Times New Roman"/>
        </w:rPr>
        <w:t>3. Data and Problem Definition</w:t>
      </w:r>
    </w:p>
    <w:p w14:paraId="7C128C4D" w14:textId="77777777" w:rsidR="005674BA" w:rsidRDefault="00D312C8">
      <w:pPr>
        <w:spacing w:after="80"/>
        <w:ind w:firstLine="288"/>
        <w:jc w:val="both"/>
      </w:pPr>
      <w:r>
        <w:t xml:space="preserve">We use </w:t>
      </w:r>
      <w:proofErr w:type="spellStart"/>
      <w:r>
        <w:t>StatsBomb</w:t>
      </w:r>
      <w:proofErr w:type="spellEnd"/>
      <w:r>
        <w:t xml:space="preserve"> Open Data events, line-ups, and 360 frames for two team-seasons (Table </w:t>
      </w:r>
      <w:proofErr w:type="gramStart"/>
      <w:r>
        <w:t>I</w:t>
      </w:r>
      <w:proofErr w:type="gramEnd"/>
      <w:r>
        <w:t>). Coordinates are converted to SPADL dimensions (105 × 68 m), with the focal team always attacking toward positive x. A 360 frame records only visible players and does not provide identities for non-actors; continuous tracking is unavailable.</w:t>
      </w:r>
    </w:p>
    <w:p w14:paraId="6E9D6520" w14:textId="77777777" w:rsidR="005674BA" w:rsidRDefault="00D312C8">
      <w:pPr>
        <w:jc w:val="center"/>
      </w:pPr>
      <w:r>
        <w:rPr>
          <w:sz w:val="16"/>
        </w:rPr>
        <w:t>TABLE I. DATASET</w:t>
      </w:r>
    </w:p>
    <w:tbl>
      <w:tblPr>
        <w:tblStyle w:val="TableGrid"/>
        <w:tblW w:w="5400" w:type="dxa"/>
        <w:jc w:val="center"/>
        <w:tblLayout w:type="fixed"/>
        <w:tblLook w:val="04A0" w:firstRow="1" w:lastRow="0" w:firstColumn="1" w:lastColumn="0" w:noHBand="0" w:noVBand="1"/>
      </w:tblPr>
      <w:tblGrid>
        <w:gridCol w:w="2233"/>
        <w:gridCol w:w="1555"/>
        <w:gridCol w:w="1612"/>
      </w:tblGrid>
      <w:tr w:rsidR="005674BA" w14:paraId="6BD7C75C" w14:textId="77777777">
        <w:trPr>
          <w:tblHeader/>
          <w:jc w:val="center"/>
        </w:trPr>
        <w:tc>
          <w:tcPr>
            <w:tcW w:w="2232" w:type="dxa"/>
            <w:shd w:val="clear" w:color="auto" w:fill="DCE6F1"/>
            <w:vAlign w:val="center"/>
          </w:tcPr>
          <w:p w14:paraId="273D5FE8" w14:textId="77777777" w:rsidR="005674BA" w:rsidRDefault="00D312C8">
            <w:pPr>
              <w:spacing w:after="0"/>
            </w:pPr>
            <w:r>
              <w:rPr>
                <w:sz w:val="16"/>
              </w:rPr>
              <w:t>Measure</w:t>
            </w:r>
          </w:p>
        </w:tc>
        <w:tc>
          <w:tcPr>
            <w:tcW w:w="1555" w:type="dxa"/>
            <w:shd w:val="clear" w:color="auto" w:fill="DCE6F1"/>
            <w:vAlign w:val="center"/>
          </w:tcPr>
          <w:p w14:paraId="789514AE" w14:textId="77777777" w:rsidR="005674BA" w:rsidRDefault="00D312C8">
            <w:pPr>
              <w:spacing w:after="0"/>
            </w:pPr>
            <w:r>
              <w:rPr>
                <w:sz w:val="16"/>
              </w:rPr>
              <w:t>Barcelona 20/21</w:t>
            </w:r>
          </w:p>
        </w:tc>
        <w:tc>
          <w:tcPr>
            <w:tcW w:w="1612" w:type="dxa"/>
            <w:shd w:val="clear" w:color="auto" w:fill="DCE6F1"/>
            <w:vAlign w:val="center"/>
          </w:tcPr>
          <w:p w14:paraId="0A474968" w14:textId="77777777" w:rsidR="005674BA" w:rsidRDefault="00D312C8">
            <w:pPr>
              <w:spacing w:after="0"/>
            </w:pPr>
            <w:r>
              <w:rPr>
                <w:sz w:val="16"/>
              </w:rPr>
              <w:t>Leverkusen 23/24</w:t>
            </w:r>
          </w:p>
        </w:tc>
      </w:tr>
      <w:tr w:rsidR="005674BA" w14:paraId="137FAE6B" w14:textId="77777777">
        <w:trPr>
          <w:jc w:val="center"/>
        </w:trPr>
        <w:tc>
          <w:tcPr>
            <w:tcW w:w="2232" w:type="dxa"/>
            <w:vAlign w:val="center"/>
          </w:tcPr>
          <w:p w14:paraId="5008178C" w14:textId="77777777" w:rsidR="005674BA" w:rsidRDefault="00D312C8">
            <w:pPr>
              <w:spacing w:after="0"/>
            </w:pPr>
            <w:r>
              <w:rPr>
                <w:sz w:val="16"/>
              </w:rPr>
              <w:t>Matches with 360 data</w:t>
            </w:r>
          </w:p>
        </w:tc>
        <w:tc>
          <w:tcPr>
            <w:tcW w:w="1555" w:type="dxa"/>
            <w:vAlign w:val="center"/>
          </w:tcPr>
          <w:p w14:paraId="617C2AE7" w14:textId="77777777" w:rsidR="005674BA" w:rsidRDefault="00D312C8">
            <w:pPr>
              <w:spacing w:after="0"/>
            </w:pPr>
            <w:r>
              <w:rPr>
                <w:sz w:val="16"/>
              </w:rPr>
              <w:t>35</w:t>
            </w:r>
          </w:p>
        </w:tc>
        <w:tc>
          <w:tcPr>
            <w:tcW w:w="1612" w:type="dxa"/>
            <w:vAlign w:val="center"/>
          </w:tcPr>
          <w:p w14:paraId="7386BFF9" w14:textId="77777777" w:rsidR="005674BA" w:rsidRDefault="00D312C8">
            <w:pPr>
              <w:spacing w:after="0"/>
            </w:pPr>
            <w:r>
              <w:rPr>
                <w:sz w:val="16"/>
              </w:rPr>
              <w:t>31 of 34</w:t>
            </w:r>
          </w:p>
        </w:tc>
      </w:tr>
      <w:tr w:rsidR="005674BA" w14:paraId="41D0670B" w14:textId="77777777">
        <w:trPr>
          <w:jc w:val="center"/>
        </w:trPr>
        <w:tc>
          <w:tcPr>
            <w:tcW w:w="2232" w:type="dxa"/>
            <w:vAlign w:val="center"/>
          </w:tcPr>
          <w:p w14:paraId="2452F532" w14:textId="77777777" w:rsidR="005674BA" w:rsidRDefault="00D312C8">
            <w:pPr>
              <w:spacing w:after="0"/>
            </w:pPr>
            <w:r>
              <w:rPr>
                <w:sz w:val="16"/>
              </w:rPr>
              <w:t>Build-up sequences</w:t>
            </w:r>
          </w:p>
        </w:tc>
        <w:tc>
          <w:tcPr>
            <w:tcW w:w="1555" w:type="dxa"/>
            <w:vAlign w:val="center"/>
          </w:tcPr>
          <w:p w14:paraId="1D954D18" w14:textId="77777777" w:rsidR="005674BA" w:rsidRDefault="00D312C8">
            <w:pPr>
              <w:spacing w:after="0"/>
            </w:pPr>
            <w:r>
              <w:rPr>
                <w:sz w:val="16"/>
              </w:rPr>
              <w:t>1,308</w:t>
            </w:r>
          </w:p>
        </w:tc>
        <w:tc>
          <w:tcPr>
            <w:tcW w:w="1612" w:type="dxa"/>
            <w:vAlign w:val="center"/>
          </w:tcPr>
          <w:p w14:paraId="03BB419A" w14:textId="77777777" w:rsidR="005674BA" w:rsidRDefault="00D312C8">
            <w:pPr>
              <w:spacing w:after="0"/>
            </w:pPr>
            <w:r>
              <w:rPr>
                <w:sz w:val="16"/>
              </w:rPr>
              <w:t>1,086</w:t>
            </w:r>
          </w:p>
        </w:tc>
      </w:tr>
      <w:tr w:rsidR="005674BA" w14:paraId="7F5B30DB" w14:textId="77777777">
        <w:trPr>
          <w:jc w:val="center"/>
        </w:trPr>
        <w:tc>
          <w:tcPr>
            <w:tcW w:w="2232" w:type="dxa"/>
            <w:vAlign w:val="center"/>
          </w:tcPr>
          <w:p w14:paraId="730DF061" w14:textId="77777777" w:rsidR="005674BA" w:rsidRDefault="00D312C8">
            <w:pPr>
              <w:spacing w:after="0"/>
            </w:pPr>
            <w:r>
              <w:rPr>
                <w:sz w:val="16"/>
              </w:rPr>
              <w:t>Negative / non-negative</w:t>
            </w:r>
          </w:p>
        </w:tc>
        <w:tc>
          <w:tcPr>
            <w:tcW w:w="1555" w:type="dxa"/>
            <w:vAlign w:val="center"/>
          </w:tcPr>
          <w:p w14:paraId="78CB9BD7" w14:textId="77777777" w:rsidR="005674BA" w:rsidRDefault="00D312C8">
            <w:pPr>
              <w:spacing w:after="0"/>
            </w:pPr>
            <w:r>
              <w:rPr>
                <w:sz w:val="16"/>
              </w:rPr>
              <w:t>175 / 1,133</w:t>
            </w:r>
          </w:p>
        </w:tc>
        <w:tc>
          <w:tcPr>
            <w:tcW w:w="1612" w:type="dxa"/>
            <w:vAlign w:val="center"/>
          </w:tcPr>
          <w:p w14:paraId="362688CF" w14:textId="77777777" w:rsidR="005674BA" w:rsidRDefault="00D312C8">
            <w:pPr>
              <w:spacing w:after="0"/>
            </w:pPr>
            <w:r>
              <w:rPr>
                <w:sz w:val="16"/>
              </w:rPr>
              <w:t>177 / 909</w:t>
            </w:r>
          </w:p>
        </w:tc>
      </w:tr>
      <w:tr w:rsidR="005674BA" w14:paraId="5C42226B" w14:textId="77777777">
        <w:trPr>
          <w:jc w:val="center"/>
        </w:trPr>
        <w:tc>
          <w:tcPr>
            <w:tcW w:w="2232" w:type="dxa"/>
            <w:vAlign w:val="center"/>
          </w:tcPr>
          <w:p w14:paraId="686E4295" w14:textId="77777777" w:rsidR="005674BA" w:rsidRDefault="00D312C8">
            <w:pPr>
              <w:spacing w:after="0"/>
            </w:pPr>
            <w:r>
              <w:rPr>
                <w:sz w:val="16"/>
              </w:rPr>
              <w:t>Base rate π</w:t>
            </w:r>
          </w:p>
        </w:tc>
        <w:tc>
          <w:tcPr>
            <w:tcW w:w="1555" w:type="dxa"/>
            <w:vAlign w:val="center"/>
          </w:tcPr>
          <w:p w14:paraId="68FD463D" w14:textId="77777777" w:rsidR="005674BA" w:rsidRDefault="00D312C8">
            <w:pPr>
              <w:spacing w:after="0"/>
            </w:pPr>
            <w:r>
              <w:rPr>
                <w:sz w:val="16"/>
              </w:rPr>
              <w:t>13.38%</w:t>
            </w:r>
          </w:p>
        </w:tc>
        <w:tc>
          <w:tcPr>
            <w:tcW w:w="1612" w:type="dxa"/>
            <w:vAlign w:val="center"/>
          </w:tcPr>
          <w:p w14:paraId="577C7284" w14:textId="77777777" w:rsidR="005674BA" w:rsidRDefault="00D312C8">
            <w:pPr>
              <w:spacing w:after="0"/>
            </w:pPr>
            <w:r>
              <w:rPr>
                <w:sz w:val="16"/>
              </w:rPr>
              <w:t>16.30%</w:t>
            </w:r>
          </w:p>
        </w:tc>
      </w:tr>
      <w:tr w:rsidR="005674BA" w14:paraId="3D9F8DBC" w14:textId="77777777">
        <w:trPr>
          <w:jc w:val="center"/>
        </w:trPr>
        <w:tc>
          <w:tcPr>
            <w:tcW w:w="2232" w:type="dxa"/>
            <w:vAlign w:val="center"/>
          </w:tcPr>
          <w:p w14:paraId="702F555C" w14:textId="77777777" w:rsidR="005674BA" w:rsidRDefault="00D312C8">
            <w:pPr>
              <w:spacing w:after="0"/>
            </w:pPr>
            <w:r>
              <w:rPr>
                <w:sz w:val="16"/>
              </w:rPr>
              <w:t>360 frame coverage</w:t>
            </w:r>
          </w:p>
        </w:tc>
        <w:tc>
          <w:tcPr>
            <w:tcW w:w="1555" w:type="dxa"/>
            <w:vAlign w:val="center"/>
          </w:tcPr>
          <w:p w14:paraId="62EA993D" w14:textId="77777777" w:rsidR="005674BA" w:rsidRDefault="00D312C8">
            <w:pPr>
              <w:spacing w:after="0"/>
            </w:pPr>
            <w:r>
              <w:rPr>
                <w:sz w:val="16"/>
              </w:rPr>
              <w:t>92.7%</w:t>
            </w:r>
          </w:p>
        </w:tc>
        <w:tc>
          <w:tcPr>
            <w:tcW w:w="1612" w:type="dxa"/>
            <w:vAlign w:val="center"/>
          </w:tcPr>
          <w:p w14:paraId="5D05ABE0" w14:textId="77777777" w:rsidR="005674BA" w:rsidRDefault="00D312C8">
            <w:pPr>
              <w:spacing w:after="0"/>
            </w:pPr>
            <w:r>
              <w:rPr>
                <w:sz w:val="16"/>
              </w:rPr>
              <w:t>85.8%</w:t>
            </w:r>
          </w:p>
        </w:tc>
      </w:tr>
    </w:tbl>
    <w:p w14:paraId="2D0D4B93" w14:textId="77777777" w:rsidR="005674BA" w:rsidRDefault="00D312C8">
      <w:pPr>
        <w:spacing w:before="80"/>
        <w:ind w:firstLine="288"/>
        <w:jc w:val="both"/>
      </w:pPr>
      <w:r>
        <w:t>Sequence construction. Each sequence starts at the first focal-team action in a possession chain in the team’s own half (</w:t>
      </w:r>
      <m:oMath>
        <m:r>
          <w:rPr>
            <w:rFonts w:ascii="Cambria Math" w:hAnsi="Cambria Math"/>
          </w:rPr>
          <m:t>x</m:t>
        </m:r>
        <m:r>
          <m:rPr>
            <m:sty m:val="p"/>
          </m:rPr>
          <w:rPr>
            <w:rFonts w:ascii="Cambria Math" w:hAnsi="Cambria Math"/>
          </w:rPr>
          <m:t>≤</m:t>
        </m:r>
        <m:r>
          <w:rPr>
            <w:rFonts w:ascii="Cambria Math" w:hAnsi="Cambria Math"/>
          </w:rPr>
          <m:t>52.5 </m:t>
        </m:r>
        <m:r>
          <m:rPr>
            <m:sty m:val="p"/>
          </m:rPr>
          <w:rPr>
            <w:rFonts w:ascii="Cambria Math" w:hAnsi="Cambria Math"/>
          </w:rPr>
          <m:t>m</m:t>
        </m:r>
      </m:oMath>
      <w:r>
        <w:t xml:space="preserve">), with at most one sequence per possession. Sequences starting from throw-ins, corners, or free kicks are excluded, except short or medium goal-kick build-ups. A sequence ends at the first shot, failed action, controlled entry into the attacking region (deep quarter, zone 14, or deep half-space; for a pass, a same-region receipt must confirm entry), 25-action cap, or end of possession. We retain </w:t>
      </w:r>
      <m:oMath>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25</m:t>
        </m:r>
      </m:oMath>
      <w:r>
        <w:t xml:space="preserve"> actions (median length: 8). </w:t>
      </w:r>
      <w:proofErr w:type="gramStart"/>
      <w:r>
        <w:t xml:space="preserve">For </w:t>
      </w:r>
      <w:proofErr w:type="gramEnd"/>
      <m:oMath>
        <m:r>
          <w:rPr>
            <w:rFonts w:ascii="Cambria Math" w:hAnsi="Cambria Math"/>
          </w:rPr>
          <m:t>S</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w:r>
        <w:t xml:space="preserve">, the learner sees only prefix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e>
        </m:d>
      </m:oMath>
      <w:r>
        <w:t>:</w:t>
      </w:r>
    </w:p>
    <w:tbl>
      <w:tblPr>
        <w:tblW w:w="470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0"/>
        <w:gridCol w:w="3900"/>
        <w:gridCol w:w="400"/>
      </w:tblGrid>
      <w:tr w:rsidR="00626BB0" w14:paraId="57AAAF15" w14:textId="77777777">
        <w:trPr>
          <w:cantSplit/>
          <w:jc w:val="center"/>
        </w:trPr>
        <w:tc>
          <w:tcPr>
            <w:tcW w:w="400" w:type="dxa"/>
            <w:vAlign w:val="center"/>
          </w:tcPr>
          <w:p w14:paraId="7E62AA2D" w14:textId="77777777" w:rsidR="00626BB0" w:rsidRDefault="00626BB0">
            <w:pPr>
              <w:spacing w:after="0"/>
            </w:pPr>
          </w:p>
        </w:tc>
        <w:tc>
          <w:tcPr>
            <w:tcW w:w="3900" w:type="dxa"/>
            <w:vAlign w:val="center"/>
          </w:tcPr>
          <w:p w14:paraId="2A2785CC" w14:textId="77777777" w:rsidR="00626BB0" w:rsidRDefault="007B2F4B">
            <w:pPr>
              <w:spacing w:after="0"/>
              <w:jc w:val="cente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y</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t>
                      </m:r>
                    </m:e>
                    <m:e>
                      <m:sSub>
                        <m:sSubPr>
                          <m:ctrlPr>
                            <w:rPr>
                              <w:rFonts w:ascii="Cambria Math" w:hAnsi="Cambria Math"/>
                            </w:rPr>
                          </m:ctrlPr>
                        </m:sSubPr>
                        <m:e>
                          <m:r>
                            <w:rPr>
                              <w:rFonts w:ascii="Cambria Math" w:hAnsi="Cambria Math"/>
                            </w:rPr>
                            <m:t>x</m:t>
                          </m:r>
                        </m:e>
                        <m:sub>
                          <m:r>
                            <m:rPr>
                              <m:sty m:val="p"/>
                            </m:rPr>
                            <w:rPr>
                              <w:rFonts w:ascii="Cambria Math" w:hAnsi="Cambria Math"/>
                            </w:rPr>
                            <m:t>loss</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52.5</m:t>
                      </m:r>
                    </m:e>
                  </m:mr>
                  <m:mr>
                    <m:e/>
                    <m:e>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Rec</m:t>
                          </m:r>
                        </m:e>
                        <m:sub>
                          <m:r>
                            <w:rPr>
                              <w:rFonts w:ascii="Cambria Math" w:hAnsi="Cambria Math"/>
                            </w:rPr>
                            <m:t>5</m:t>
                          </m:r>
                        </m:sub>
                      </m:sSub>
                      <m:d>
                        <m:dPr>
                          <m:ctrlPr>
                            <w:rPr>
                              <w:rFonts w:ascii="Cambria Math" w:hAnsi="Cambria Math"/>
                            </w:rPr>
                          </m:ctrlPr>
                        </m:dPr>
                        <m:e>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Foul</m:t>
                      </m:r>
                      <m:d>
                        <m:dPr>
                          <m:ctrlPr>
                            <w:rPr>
                              <w:rFonts w:ascii="Cambria Math" w:hAnsi="Cambria Math"/>
                            </w:rPr>
                          </m:ctrlPr>
                        </m:dPr>
                        <m:e>
                          <m:r>
                            <w:rPr>
                              <w:rFonts w:ascii="Cambria Math" w:hAnsi="Cambria Math"/>
                            </w:rPr>
                            <m:t>S</m:t>
                          </m:r>
                        </m:e>
                      </m:d>
                    </m:e>
                  </m:mr>
                </m:m>
              </m:oMath>
            </m:oMathPara>
          </w:p>
        </w:tc>
        <w:tc>
          <w:tcPr>
            <w:tcW w:w="400" w:type="dxa"/>
            <w:vAlign w:val="center"/>
          </w:tcPr>
          <w:p w14:paraId="46A589F7" w14:textId="77777777" w:rsidR="00626BB0" w:rsidRDefault="00C460CC">
            <w:pPr>
              <w:spacing w:after="0"/>
              <w:jc w:val="right"/>
            </w:pPr>
            <w:r>
              <w:t>(1)</w:t>
            </w:r>
          </w:p>
        </w:tc>
      </w:tr>
    </w:tbl>
    <w:p w14:paraId="4A0B971D" w14:textId="77777777" w:rsidR="005674BA" w:rsidRDefault="00D312C8">
      <w:pPr>
        <w:spacing w:before="60" w:after="80"/>
        <w:ind w:firstLine="288"/>
        <w:jc w:val="both"/>
      </w:pPr>
      <w:r>
        <w:t xml:space="preserve">Here </w:t>
      </w:r>
      <m:oMath>
        <m:sSub>
          <m:sSubPr>
            <m:ctrlPr>
              <w:rPr>
                <w:rFonts w:ascii="Cambria Math" w:hAnsi="Cambria Math"/>
              </w:rPr>
            </m:ctrlPr>
          </m:sSubPr>
          <m:e>
            <m:r>
              <w:rPr>
                <w:rFonts w:ascii="Cambria Math" w:hAnsi="Cambria Math"/>
              </w:rPr>
              <m:t>x</m:t>
            </m:r>
          </m:e>
          <m:sub>
            <m:r>
              <m:rPr>
                <m:sty m:val="p"/>
              </m:rPr>
              <w:rPr>
                <w:rFonts w:ascii="Cambria Math" w:hAnsi="Cambria Math"/>
              </w:rPr>
              <m:t>loss</m:t>
            </m:r>
          </m:sub>
        </m:sSub>
      </m:oMath>
      <w:r>
        <w:t xml:space="preserve"> is the turnover location, </w:t>
      </w:r>
      <m:oMath>
        <m:sSub>
          <m:sSubPr>
            <m:ctrlPr>
              <w:rPr>
                <w:rFonts w:ascii="Cambria Math" w:hAnsi="Cambria Math"/>
              </w:rPr>
            </m:ctrlPr>
          </m:sSubPr>
          <m:e>
            <m:r>
              <m:rPr>
                <m:sty m:val="p"/>
              </m:rPr>
              <w:rPr>
                <w:rFonts w:ascii="Cambria Math" w:hAnsi="Cambria Math"/>
              </w:rPr>
              <m:t>Rec</m:t>
            </m:r>
          </m:e>
          <m:sub>
            <m:r>
              <w:rPr>
                <w:rFonts w:ascii="Cambria Math" w:hAnsi="Cambria Math"/>
              </w:rPr>
              <m:t>5</m:t>
            </m:r>
          </m:sub>
        </m:sSub>
      </m:oMath>
      <w:r>
        <w:t xml:space="preserve"> denotes controlled recovery within five seconds, and Foul denotes a foul as the opponent’s first action (an ambiguous boundary case). A non-negative sequence does not necessarily indicate tactical success. The base rate </w:t>
      </w:r>
      <w:proofErr w:type="gramStart"/>
      <w:r>
        <w:t xml:space="preserve">is </w:t>
      </w:r>
      <w:proofErr w:type="gramEnd"/>
      <m:oMath>
        <m:r>
          <w:rPr>
            <w:rFonts w:ascii="Cambria Math" w:hAnsi="Cambria Math"/>
          </w:rPr>
          <m:t>π</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1</m:t>
            </m:r>
            <m:r>
              <m:rPr>
                <m:sty m:val="p"/>
              </m:rPr>
              <w:rPr>
                <w:rFonts w:ascii="Cambria Math" w:hAnsi="Cambria Math"/>
              </w:rPr>
              <m:t>}</m:t>
            </m:r>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D</m:t>
            </m:r>
          </m:e>
        </m:d>
      </m:oMath>
      <w:r>
        <w:t>.</w:t>
      </w:r>
    </w:p>
    <w:p w14:paraId="670B2010" w14:textId="77777777" w:rsidR="005674BA" w:rsidRDefault="00D312C8">
      <w:pPr>
        <w:ind w:firstLine="288"/>
        <w:jc w:val="both"/>
      </w:pPr>
      <w:r>
        <w:t xml:space="preserve">Control sampling. For Popper and CART training, we select at most </w:t>
      </w:r>
      <m:oMath>
        <m:r>
          <w:rPr>
            <w:rFonts w:ascii="Cambria Math" w:hAnsi="Cambria Math"/>
          </w:rPr>
          <m:t>r</m:t>
        </m:r>
        <m:r>
          <m:rPr>
            <m:sty m:val="p"/>
          </m:rPr>
          <w:rPr>
            <w:rFonts w:ascii="Cambria Math" w:hAnsi="Cambria Math"/>
          </w:rPr>
          <m:t>=</m:t>
        </m:r>
        <m:r>
          <w:rPr>
            <w:rFonts w:ascii="Cambria Math" w:hAnsi="Cambria Math"/>
          </w:rPr>
          <m:t>2</m:t>
        </m:r>
      </m:oMath>
      <w:r>
        <w:t xml:space="preserve"> context-matched controls per negative, matched on start zone, pressure, and sequence length. The miner uses all training sequences at natural prevalence, and evaluation always uses all sequences from held-out matches at natural prevalence. With </w:t>
      </w:r>
      <m:oMath>
        <m:r>
          <w:rPr>
            <w:rFonts w:ascii="Cambria Math" w:hAnsi="Cambria Math"/>
          </w:rPr>
          <m:t>P</m:t>
        </m:r>
      </m:oMath>
      <w:r>
        <w:t xml:space="preserve"> negatives,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non-negatives, and sampling </w:t>
      </w:r>
      <w:proofErr w:type="gramStart"/>
      <w:r>
        <w:t xml:space="preserve">fraction </w:t>
      </w:r>
      <w:proofErr w:type="gramEnd"/>
      <m:oMath>
        <m:r>
          <w:rPr>
            <w:rFonts w:ascii="Cambria Math" w:hAnsi="Cambria Math"/>
          </w:rPr>
          <m:t>s</m:t>
        </m:r>
        <m:r>
          <m:rPr>
            <m:sty m:val="p"/>
          </m:rPr>
          <w:rPr>
            <w:rFonts w:ascii="Cambria Math" w:hAnsi="Cambria Math"/>
          </w:rPr>
          <m:t>=</m:t>
        </m:r>
        <m:r>
          <w:rPr>
            <w:rFonts w:ascii="Cambria Math" w:hAnsi="Cambria Math"/>
          </w:rPr>
          <m:t>rP</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natural-prevalence precision can be approximated from sampled confidence </w:t>
      </w:r>
      <m:oMath>
        <m:r>
          <w:rPr>
            <w:rFonts w:ascii="Cambria Math" w:hAnsi="Cambria Math"/>
          </w:rPr>
          <m:t>c</m:t>
        </m:r>
      </m:oMath>
      <w:r>
        <w:t xml:space="preserve"> as:</w:t>
      </w:r>
    </w:p>
    <w:tbl>
      <w:tblPr>
        <w:tblW w:w="470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0"/>
        <w:gridCol w:w="3900"/>
        <w:gridCol w:w="400"/>
      </w:tblGrid>
      <w:tr w:rsidR="00626BB0" w14:paraId="7E9ADD26" w14:textId="77777777">
        <w:trPr>
          <w:cantSplit/>
          <w:jc w:val="center"/>
        </w:trPr>
        <w:tc>
          <w:tcPr>
            <w:tcW w:w="400" w:type="dxa"/>
            <w:vAlign w:val="center"/>
          </w:tcPr>
          <w:p w14:paraId="4B0604B4" w14:textId="77777777" w:rsidR="00626BB0" w:rsidRDefault="00626BB0">
            <w:pPr>
              <w:spacing w:after="0"/>
            </w:pPr>
          </w:p>
        </w:tc>
        <w:tc>
          <w:tcPr>
            <w:tcW w:w="3900" w:type="dxa"/>
            <w:vAlign w:val="center"/>
          </w:tcPr>
          <w:p w14:paraId="40EF413C" w14:textId="77777777" w:rsidR="00626BB0" w:rsidRDefault="007B2F4B">
            <w:pPr>
              <w:spacing w:after="0"/>
              <w:jc w:val="center"/>
            </w:pPr>
            <m:oMathPara>
              <m:oMathParaPr>
                <m:jc m:val="center"/>
              </m:oMathParaPr>
              <m:oMath>
                <m:sSub>
                  <m:sSubPr>
                    <m:ctrlPr>
                      <w:rPr>
                        <w:rFonts w:ascii="Cambria Math" w:hAnsi="Cambria Math"/>
                      </w:rPr>
                    </m:ctrlPr>
                  </m:sSubPr>
                  <m:e>
                    <m:r>
                      <m:rPr>
                        <m:sty m:val="p"/>
                      </m:rPr>
                      <w:rPr>
                        <w:rFonts w:ascii="Cambria Math" w:hAnsi="Cambria Math"/>
                      </w:rPr>
                      <m:t>Prec</m:t>
                    </m:r>
                  </m:e>
                  <m:sub>
                    <m:r>
                      <m:rPr>
                        <m:sty m:val="p"/>
                      </m:rPr>
                      <w:rPr>
                        <w:rFonts w:ascii="Cambria Math" w:hAnsi="Cambria Math"/>
                      </w:rPr>
                      <m:t>nat</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s</m:t>
                    </m:r>
                  </m:den>
                </m:f>
              </m:oMath>
            </m:oMathPara>
          </w:p>
        </w:tc>
        <w:tc>
          <w:tcPr>
            <w:tcW w:w="400" w:type="dxa"/>
            <w:vAlign w:val="center"/>
          </w:tcPr>
          <w:p w14:paraId="03A8D25D" w14:textId="77777777" w:rsidR="00626BB0" w:rsidRDefault="00C460CC">
            <w:pPr>
              <w:spacing w:after="0"/>
              <w:jc w:val="right"/>
            </w:pPr>
            <w:r>
              <w:t>(2)</w:t>
            </w:r>
          </w:p>
        </w:tc>
      </w:tr>
    </w:tbl>
    <w:p w14:paraId="1622F0D2" w14:textId="77777777" w:rsidR="005674BA" w:rsidRDefault="00D312C8">
      <w:pPr>
        <w:spacing w:before="60" w:after="80"/>
        <w:ind w:firstLine="288"/>
        <w:jc w:val="both"/>
      </w:pPr>
      <w:r>
        <w:t>For Barcelona</w:t>
      </w:r>
      <w:proofErr w:type="gramStart"/>
      <w:r>
        <w:t xml:space="preserve">, </w:t>
      </w:r>
      <w:proofErr w:type="gramEnd"/>
      <m:oMath>
        <m:r>
          <w:rPr>
            <w:rFonts w:ascii="Cambria Math" w:hAnsi="Cambria Math"/>
          </w:rPr>
          <m:t>s</m:t>
        </m:r>
        <m:r>
          <m:rPr>
            <m:sty m:val="p"/>
          </m:rPr>
          <w:rPr>
            <w:rFonts w:ascii="Cambria Math" w:hAnsi="Cambria Math"/>
          </w:rPr>
          <m:t>=</m:t>
        </m:r>
        <m:r>
          <w:rPr>
            <w:rFonts w:ascii="Cambria Math" w:hAnsi="Cambria Math"/>
          </w:rPr>
          <m:t>0.309</m:t>
        </m:r>
      </m:oMath>
      <w:r>
        <w:t xml:space="preserve">; for Leverkusen, </w:t>
      </w:r>
      <m:oMath>
        <m:r>
          <w:rPr>
            <w:rFonts w:ascii="Cambria Math" w:hAnsi="Cambria Math"/>
          </w:rPr>
          <m:t>s</m:t>
        </m:r>
        <m:r>
          <m:rPr>
            <m:sty m:val="p"/>
          </m:rPr>
          <w:rPr>
            <w:rFonts w:ascii="Cambria Math" w:hAnsi="Cambria Math"/>
          </w:rPr>
          <m:t>=</m:t>
        </m:r>
        <m:r>
          <w:rPr>
            <w:rFonts w:ascii="Cambria Math" w:hAnsi="Cambria Math"/>
          </w:rPr>
          <m:t>0.389</m:t>
        </m:r>
      </m:oMath>
      <w:r>
        <w:t xml:space="preserve">. For example, </w:t>
      </w:r>
      <m:oMath>
        <m:r>
          <w:rPr>
            <w:rFonts w:ascii="Cambria Math" w:hAnsi="Cambria Math"/>
          </w:rPr>
          <m:t>c</m:t>
        </m:r>
        <m:r>
          <m:rPr>
            <m:sty m:val="p"/>
          </m:rPr>
          <w:rPr>
            <w:rFonts w:ascii="Cambria Math" w:hAnsi="Cambria Math"/>
          </w:rPr>
          <m:t>=</m:t>
        </m:r>
        <m:r>
          <w:rPr>
            <w:rFonts w:ascii="Cambria Math" w:hAnsi="Cambria Math"/>
          </w:rPr>
          <m:t>0.6</m:t>
        </m:r>
      </m:oMath>
      <w:r>
        <w:t xml:space="preserve"> corresponds </w:t>
      </w:r>
      <w:proofErr w:type="gramStart"/>
      <w:r>
        <w:t>to</w:t>
      </w:r>
      <w:proofErr w:type="gramEnd"/>
      <w:r>
        <w:t xml:space="preserve"> approximately 0.32 and 0.37, respectively. Sampled confidence is therefore not directly comparable to natural-prevalence rates.</w:t>
      </w:r>
    </w:p>
    <w:p w14:paraId="557D5F10" w14:textId="77777777" w:rsidR="005674BA" w:rsidRDefault="00D312C8">
      <w:pPr>
        <w:spacing w:after="80"/>
        <w:ind w:firstLine="288"/>
        <w:jc w:val="both"/>
      </w:pPr>
      <w:r>
        <w:t xml:space="preserve">Data limitations. Off-ball movement and speed are unavailable. Predicates that depend on the terminal action (and could leak the label), as well as concepts that could not be defined precisely with these data, were excluded. Predicates such as </w:t>
      </w:r>
      <w:proofErr w:type="spellStart"/>
      <w:r>
        <w:t>rest_defence_exposed</w:t>
      </w:r>
      <w:proofErr w:type="spellEnd"/>
      <w:r>
        <w:t xml:space="preserve"> are proxies for defensive shape, not direct measurements.</w:t>
      </w:r>
    </w:p>
    <w:p w14:paraId="45B4BA2F" w14:textId="77777777" w:rsidR="005674BA" w:rsidRDefault="00D312C8">
      <w:pPr>
        <w:pStyle w:val="Heading1"/>
        <w:jc w:val="center"/>
      </w:pPr>
      <w:r>
        <w:rPr>
          <w:rFonts w:ascii="Times New Roman" w:hAnsi="Times New Roman"/>
        </w:rPr>
        <w:t>4. Method</w:t>
      </w:r>
    </w:p>
    <w:p w14:paraId="415780F4" w14:textId="77777777" w:rsidR="005674BA" w:rsidRDefault="00D312C8">
      <w:pPr>
        <w:spacing w:after="80"/>
        <w:ind w:firstLine="288"/>
        <w:jc w:val="both"/>
        <w:sectPr w:rsidR="005674BA">
          <w:type w:val="continuous"/>
          <w:pgSz w:w="11905" w:h="16838"/>
          <w:pgMar w:top="1080" w:right="891" w:bottom="1440" w:left="891" w:header="720" w:footer="720" w:gutter="0"/>
          <w:cols w:num="2" w:space="720"/>
          <w:docGrid w:linePitch="360"/>
        </w:sectPr>
      </w:pPr>
      <w:r>
        <w:t>The five-stage pipeline (Fig. 1) converts data to Prolog facts, defines background knowledge (BK), mines sequential patterns, learns rules with Popper, and sends every candidate for coach review. Facts contain no labels; labels enter only during learning.</w:t>
      </w:r>
    </w:p>
    <w:p w14:paraId="54FAEF59" w14:textId="77777777" w:rsidR="005674BA" w:rsidRDefault="00D312C8">
      <w:pPr>
        <w:jc w:val="center"/>
      </w:pPr>
      <w:r>
        <w:rPr>
          <w:noProof/>
        </w:rPr>
        <w:drawing>
          <wp:inline distT="0" distB="0" distL="0" distR="0">
            <wp:extent cx="5614712" cy="2326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14"/>
                    <a:stretch>
                      <a:fillRect/>
                    </a:stretch>
                  </pic:blipFill>
                  <pic:spPr>
                    <a:xfrm>
                      <a:off x="0" y="0"/>
                      <a:ext cx="5614712" cy="2326094"/>
                    </a:xfrm>
                    <a:prstGeom prst="rect">
                      <a:avLst/>
                    </a:prstGeom>
                  </pic:spPr>
                </pic:pic>
              </a:graphicData>
            </a:graphic>
          </wp:inline>
        </w:drawing>
      </w:r>
    </w:p>
    <w:p w14:paraId="39BD19F3" w14:textId="77777777" w:rsidR="005674BA" w:rsidRDefault="00D312C8">
      <w:pPr>
        <w:jc w:val="center"/>
        <w:sectPr w:rsidR="005674BA">
          <w:type w:val="continuous"/>
          <w:pgSz w:w="11905" w:h="16838"/>
          <w:pgMar w:top="1080" w:right="891" w:bottom="1440" w:left="891" w:header="720" w:footer="720" w:gutter="0"/>
          <w:cols w:space="720"/>
          <w:docGrid w:linePitch="360"/>
        </w:sectPr>
      </w:pPr>
      <w:r>
        <w:rPr>
          <w:i/>
          <w:sz w:val="16"/>
        </w:rPr>
        <w:t>Fig. 1. Five safeguards: (1) unlabeled facts; (2) pattern mining inside each fold; (3) match-grouped folds; (4) natural-prevalence evaluation; and (5) human review of every rule.</w:t>
      </w:r>
    </w:p>
    <w:p w14:paraId="26995958" w14:textId="77777777" w:rsidR="005674BA" w:rsidRDefault="00D312C8">
      <w:pPr>
        <w:pStyle w:val="Heading2"/>
      </w:pPr>
      <w:r>
        <w:rPr>
          <w:rFonts w:ascii="Times New Roman" w:hAnsi="Times New Roman"/>
        </w:rPr>
        <w:t>4.1 Background Knowledge</w:t>
      </w:r>
    </w:p>
    <w:p w14:paraId="6405452E" w14:textId="77777777" w:rsidR="005674BA" w:rsidRDefault="00D312C8">
      <w:pPr>
        <w:spacing w:after="80"/>
        <w:jc w:val="center"/>
      </w:pPr>
      <w:r>
        <w:t>Tactical and geometric concepts are declarative Prolog rules over base facts (SWI-Prolog [25]). The pitch is divided into three thirds (</w:t>
      </w:r>
      <w:proofErr w:type="gramStart"/>
      <w:r>
        <w:t xml:space="preserve">defensive </w:t>
      </w:r>
      <w:proofErr w:type="gramEnd"/>
      <m:oMath>
        <m:r>
          <w:rPr>
            <w:rFonts w:ascii="Cambria Math" w:hAnsi="Cambria Math"/>
          </w:rPr>
          <m:t>x</m:t>
        </m:r>
        <m:r>
          <m:rPr>
            <m:sty m:val="p"/>
          </m:rPr>
          <w:rPr>
            <w:rFonts w:ascii="Cambria Math" w:hAnsi="Cambria Math"/>
          </w:rPr>
          <m:t>≤</m:t>
        </m:r>
        <m:r>
          <w:rPr>
            <w:rFonts w:ascii="Cambria Math" w:hAnsi="Cambria Math"/>
          </w:rPr>
          <m:t>35</m:t>
        </m:r>
      </m:oMath>
      <w:r>
        <w:t>, middle, attacking) and five lanes, aggregated into left/</w:t>
      </w:r>
      <w:proofErr w:type="spellStart"/>
      <w:r>
        <w:t>centre</w:t>
      </w:r>
      <w:proofErr w:type="spellEnd"/>
      <w:r>
        <w:t xml:space="preserve">/right channels for mining. Pressure means at least one opponent within 5 m; an open passing lane means a teammate is reachable with no opponent within 2 m of the lane. Each </w:t>
      </w:r>
      <w:r>
        <w:t>sequence-level predicate is an existential wrapper over the prefix</w:t>
      </w:r>
      <w:proofErr w:type="gramStart"/>
      <w:r>
        <w:t xml:space="preserve">: </w:t>
      </w:r>
      <w:proofErr w:type="gramEnd"/>
      <m:oMath>
        <m:r>
          <m:rPr>
            <m:sty m:val="p"/>
          </m:rPr>
          <w:rPr>
            <w:rFonts w:ascii="Cambria Math" w:hAnsi="Cambria Math"/>
          </w:rPr>
          <m:t>seq_</m:t>
        </m:r>
        <m:r>
          <w:rPr>
            <w:rFonts w:ascii="Cambria Math" w:hAnsi="Cambria Math"/>
          </w:rPr>
          <m:t>X</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oMath>
      <w:r>
        <w:t xml:space="preserve">. The active vocabulary contains 34 predicates. This is </w:t>
      </w:r>
      <w:proofErr w:type="spellStart"/>
      <w:r>
        <w:t>propositionalization</w:t>
      </w:r>
      <w:proofErr w:type="spellEnd"/>
      <w:r>
        <w:t xml:space="preserve"> [14]: relational concepts may be multi-</w:t>
      </w:r>
      <w:proofErr w:type="spellStart"/>
      <w:r>
        <w:t>ary</w:t>
      </w:r>
      <w:proofErr w:type="spellEnd"/>
      <w:r>
        <w:t xml:space="preserve"> in BK, but the hypothesis learner sees unary sequence-level features to constrain combinatorial growth. It therefore does not directly learn multi-player relations. Table II defines predicates appearing in Table IV.</w:t>
      </w:r>
    </w:p>
    <w:p w14:paraId="31ED65B3" w14:textId="77777777" w:rsidR="005674BA" w:rsidRDefault="00D312C8">
      <w:pPr>
        <w:jc w:val="center"/>
      </w:pPr>
      <w:r>
        <w:rPr>
          <w:sz w:val="16"/>
        </w:rPr>
        <w:lastRenderedPageBreak/>
        <w:t>TABLE II. OPERATIONAL DEFINITIONS OF PREDICATES IN TABLE IV</w:t>
      </w:r>
    </w:p>
    <w:tbl>
      <w:tblPr>
        <w:tblStyle w:val="TableGrid"/>
        <w:tblW w:w="5400" w:type="dxa"/>
        <w:jc w:val="center"/>
        <w:tblLayout w:type="fixed"/>
        <w:tblLook w:val="04A0" w:firstRow="1" w:lastRow="0" w:firstColumn="1" w:lastColumn="0" w:noHBand="0" w:noVBand="1"/>
      </w:tblPr>
      <w:tblGrid>
        <w:gridCol w:w="1900"/>
        <w:gridCol w:w="3500"/>
      </w:tblGrid>
      <w:tr w:rsidR="005674BA" w14:paraId="23272075" w14:textId="77777777">
        <w:trPr>
          <w:tblHeader/>
          <w:jc w:val="center"/>
        </w:trPr>
        <w:tc>
          <w:tcPr>
            <w:tcW w:w="1900" w:type="dxa"/>
            <w:shd w:val="clear" w:color="auto" w:fill="DCE6F1"/>
            <w:vAlign w:val="center"/>
          </w:tcPr>
          <w:p w14:paraId="7B63583E" w14:textId="77777777" w:rsidR="005674BA" w:rsidRDefault="00D312C8">
            <w:pPr>
              <w:spacing w:after="0"/>
            </w:pPr>
            <w:r>
              <w:rPr>
                <w:sz w:val="16"/>
              </w:rPr>
              <w:t>Predicate</w:t>
            </w:r>
          </w:p>
        </w:tc>
        <w:tc>
          <w:tcPr>
            <w:tcW w:w="3500" w:type="dxa"/>
            <w:shd w:val="clear" w:color="auto" w:fill="DCE6F1"/>
            <w:vAlign w:val="center"/>
          </w:tcPr>
          <w:p w14:paraId="2D3D4905" w14:textId="77777777" w:rsidR="005674BA" w:rsidRDefault="00D312C8">
            <w:pPr>
              <w:spacing w:after="0"/>
            </w:pPr>
            <w:r>
              <w:rPr>
                <w:sz w:val="16"/>
              </w:rPr>
              <w:t>Operational definition and caveat</w:t>
            </w:r>
          </w:p>
        </w:tc>
      </w:tr>
      <w:tr w:rsidR="005674BA" w14:paraId="098399C0" w14:textId="77777777">
        <w:trPr>
          <w:jc w:val="center"/>
        </w:trPr>
        <w:tc>
          <w:tcPr>
            <w:tcW w:w="1900" w:type="dxa"/>
            <w:vAlign w:val="center"/>
          </w:tcPr>
          <w:p w14:paraId="2F14E19A" w14:textId="77777777" w:rsidR="005674BA" w:rsidRDefault="00D312C8">
            <w:pPr>
              <w:spacing w:after="0"/>
            </w:pPr>
            <w:proofErr w:type="spellStart"/>
            <w:r>
              <w:rPr>
                <w:sz w:val="16"/>
              </w:rPr>
              <w:t>under_pressure</w:t>
            </w:r>
            <w:proofErr w:type="spellEnd"/>
          </w:p>
        </w:tc>
        <w:tc>
          <w:tcPr>
            <w:tcW w:w="3500" w:type="dxa"/>
            <w:vAlign w:val="center"/>
          </w:tcPr>
          <w:p w14:paraId="4F1F9428" w14:textId="77777777" w:rsidR="005674BA" w:rsidRDefault="00D312C8">
            <w:pPr>
              <w:spacing w:after="0"/>
            </w:pPr>
            <w:r>
              <w:rPr>
                <w:sz w:val="16"/>
              </w:rPr>
              <w:t>At least one opponent within 5 m (weakest pressure threshold).</w:t>
            </w:r>
          </w:p>
        </w:tc>
      </w:tr>
      <w:tr w:rsidR="005674BA" w14:paraId="3AC78A5C" w14:textId="77777777">
        <w:trPr>
          <w:jc w:val="center"/>
        </w:trPr>
        <w:tc>
          <w:tcPr>
            <w:tcW w:w="1900" w:type="dxa"/>
            <w:vAlign w:val="center"/>
          </w:tcPr>
          <w:p w14:paraId="18AE1EB6" w14:textId="77777777" w:rsidR="005674BA" w:rsidRDefault="00D312C8">
            <w:pPr>
              <w:spacing w:after="0"/>
            </w:pPr>
            <w:proofErr w:type="spellStart"/>
            <w:r>
              <w:rPr>
                <w:sz w:val="16"/>
              </w:rPr>
              <w:t>rest_defence_exposed</w:t>
            </w:r>
            <w:proofErr w:type="spellEnd"/>
          </w:p>
        </w:tc>
        <w:tc>
          <w:tcPr>
            <w:tcW w:w="3500" w:type="dxa"/>
            <w:vAlign w:val="center"/>
          </w:tcPr>
          <w:p w14:paraId="6ADCFC4A" w14:textId="77777777" w:rsidR="005674BA" w:rsidRDefault="00D312C8">
            <w:pPr>
              <w:spacing w:after="0"/>
            </w:pPr>
            <w:r>
              <w:rPr>
                <w:sz w:val="16"/>
              </w:rPr>
              <w:t>Fewer than two non-goalkeeper teammates ≥5 m behind the carrier; a proxy (in the defensive third, partly reflects the ball being with the deepest player).</w:t>
            </w:r>
          </w:p>
        </w:tc>
      </w:tr>
      <w:tr w:rsidR="005674BA" w14:paraId="1485A203" w14:textId="77777777">
        <w:trPr>
          <w:jc w:val="center"/>
        </w:trPr>
        <w:tc>
          <w:tcPr>
            <w:tcW w:w="1900" w:type="dxa"/>
            <w:vAlign w:val="center"/>
          </w:tcPr>
          <w:p w14:paraId="1413BF6B" w14:textId="77777777" w:rsidR="005674BA" w:rsidRDefault="00D312C8">
            <w:pPr>
              <w:spacing w:after="0"/>
            </w:pPr>
            <w:proofErr w:type="spellStart"/>
            <w:r>
              <w:rPr>
                <w:sz w:val="16"/>
              </w:rPr>
              <w:t>dead_end_support</w:t>
            </w:r>
            <w:proofErr w:type="spellEnd"/>
          </w:p>
        </w:tc>
        <w:tc>
          <w:tcPr>
            <w:tcW w:w="3500" w:type="dxa"/>
            <w:vAlign w:val="center"/>
          </w:tcPr>
          <w:p w14:paraId="54A33719" w14:textId="77777777" w:rsidR="005674BA" w:rsidRDefault="00D312C8">
            <w:pPr>
              <w:spacing w:after="0"/>
            </w:pPr>
            <w:r>
              <w:rPr>
                <w:sz w:val="16"/>
              </w:rPr>
              <w:t>Valid frame and no teammate with an open passing lane.</w:t>
            </w:r>
          </w:p>
        </w:tc>
      </w:tr>
      <w:tr w:rsidR="005674BA" w14:paraId="7FE86553" w14:textId="77777777">
        <w:trPr>
          <w:jc w:val="center"/>
        </w:trPr>
        <w:tc>
          <w:tcPr>
            <w:tcW w:w="1900" w:type="dxa"/>
            <w:vAlign w:val="center"/>
          </w:tcPr>
          <w:p w14:paraId="65A4FE17" w14:textId="77777777" w:rsidR="005674BA" w:rsidRDefault="00D312C8">
            <w:pPr>
              <w:spacing w:after="0"/>
            </w:pPr>
            <w:proofErr w:type="spellStart"/>
            <w:r>
              <w:rPr>
                <w:sz w:val="16"/>
              </w:rPr>
              <w:t>line_pass</w:t>
            </w:r>
            <w:proofErr w:type="spellEnd"/>
          </w:p>
        </w:tc>
        <w:tc>
          <w:tcPr>
            <w:tcW w:w="3500" w:type="dxa"/>
            <w:vAlign w:val="center"/>
          </w:tcPr>
          <w:p w14:paraId="05B4B09F" w14:textId="77777777" w:rsidR="005674BA" w:rsidRDefault="00D312C8">
            <w:pPr>
              <w:spacing w:after="0"/>
            </w:pPr>
            <w:r>
              <w:rPr>
                <w:sz w:val="16"/>
              </w:rPr>
              <w:t>Successful pass from a non-central lane to the same lane, non-lateral direction; includes backward passes and is not necessarily longitudinal.</w:t>
            </w:r>
          </w:p>
        </w:tc>
      </w:tr>
      <w:tr w:rsidR="005674BA" w14:paraId="01EA3735" w14:textId="77777777">
        <w:trPr>
          <w:jc w:val="center"/>
        </w:trPr>
        <w:tc>
          <w:tcPr>
            <w:tcW w:w="1900" w:type="dxa"/>
            <w:vAlign w:val="center"/>
          </w:tcPr>
          <w:p w14:paraId="11842FBE" w14:textId="77777777" w:rsidR="005674BA" w:rsidRDefault="00D312C8">
            <w:pPr>
              <w:spacing w:after="0"/>
            </w:pPr>
            <w:proofErr w:type="spellStart"/>
            <w:r>
              <w:rPr>
                <w:sz w:val="16"/>
              </w:rPr>
              <w:t>connecting_pass</w:t>
            </w:r>
            <w:proofErr w:type="spellEnd"/>
          </w:p>
        </w:tc>
        <w:tc>
          <w:tcPr>
            <w:tcW w:w="3500" w:type="dxa"/>
            <w:vAlign w:val="center"/>
          </w:tcPr>
          <w:p w14:paraId="172858FA" w14:textId="77777777" w:rsidR="005674BA" w:rsidRDefault="00D312C8">
            <w:pPr>
              <w:spacing w:after="0"/>
            </w:pPr>
            <w:r>
              <w:rPr>
                <w:sz w:val="16"/>
              </w:rPr>
              <w:t>Successful short pass (&lt;10 m) that is non-progressive.</w:t>
            </w:r>
          </w:p>
        </w:tc>
      </w:tr>
      <w:tr w:rsidR="005674BA" w14:paraId="375AC6A9" w14:textId="77777777">
        <w:trPr>
          <w:jc w:val="center"/>
        </w:trPr>
        <w:tc>
          <w:tcPr>
            <w:tcW w:w="1900" w:type="dxa"/>
            <w:vAlign w:val="center"/>
          </w:tcPr>
          <w:p w14:paraId="11548B34" w14:textId="77777777" w:rsidR="005674BA" w:rsidRDefault="00D312C8">
            <w:pPr>
              <w:spacing w:after="0"/>
            </w:pPr>
            <w:proofErr w:type="spellStart"/>
            <w:r>
              <w:rPr>
                <w:sz w:val="16"/>
              </w:rPr>
              <w:t>first_time_play</w:t>
            </w:r>
            <w:proofErr w:type="spellEnd"/>
          </w:p>
        </w:tc>
        <w:tc>
          <w:tcPr>
            <w:tcW w:w="3500" w:type="dxa"/>
            <w:vAlign w:val="center"/>
          </w:tcPr>
          <w:p w14:paraId="736CFE0A" w14:textId="77777777" w:rsidR="005674BA" w:rsidRDefault="00D312C8">
            <w:pPr>
              <w:spacing w:after="0"/>
            </w:pPr>
            <w:r>
              <w:rPr>
                <w:sz w:val="16"/>
              </w:rPr>
              <w:t>Possession duration ≤0.5 s; a temporal proxy.</w:t>
            </w:r>
          </w:p>
        </w:tc>
      </w:tr>
      <w:tr w:rsidR="005674BA" w14:paraId="6DB88ECA" w14:textId="77777777">
        <w:trPr>
          <w:jc w:val="center"/>
        </w:trPr>
        <w:tc>
          <w:tcPr>
            <w:tcW w:w="1900" w:type="dxa"/>
            <w:vAlign w:val="center"/>
          </w:tcPr>
          <w:p w14:paraId="30841324" w14:textId="77777777" w:rsidR="005674BA" w:rsidRDefault="00D312C8">
            <w:pPr>
              <w:spacing w:after="0"/>
            </w:pPr>
            <w:proofErr w:type="spellStart"/>
            <w:r>
              <w:rPr>
                <w:sz w:val="16"/>
              </w:rPr>
              <w:t>fast_sequence</w:t>
            </w:r>
            <w:proofErr w:type="spellEnd"/>
          </w:p>
        </w:tc>
        <w:tc>
          <w:tcPr>
            <w:tcW w:w="3500" w:type="dxa"/>
            <w:vAlign w:val="center"/>
          </w:tcPr>
          <w:p w14:paraId="55DF2C6F" w14:textId="77777777" w:rsidR="005674BA" w:rsidRDefault="00D312C8">
            <w:pPr>
              <w:spacing w:after="0"/>
            </w:pPr>
            <w:r>
              <w:rPr>
                <w:sz w:val="16"/>
              </w:rPr>
              <w:t>Actions per second ≥70th percentile.</w:t>
            </w:r>
          </w:p>
        </w:tc>
      </w:tr>
      <w:tr w:rsidR="005674BA" w14:paraId="7F4D01A7" w14:textId="77777777">
        <w:trPr>
          <w:jc w:val="center"/>
        </w:trPr>
        <w:tc>
          <w:tcPr>
            <w:tcW w:w="1900" w:type="dxa"/>
            <w:vAlign w:val="center"/>
          </w:tcPr>
          <w:p w14:paraId="5C4ACDDF" w14:textId="77777777" w:rsidR="005674BA" w:rsidRDefault="00D312C8">
            <w:pPr>
              <w:spacing w:after="0"/>
            </w:pPr>
            <w:proofErr w:type="spellStart"/>
            <w:r>
              <w:rPr>
                <w:sz w:val="16"/>
              </w:rPr>
              <w:t>flank_backward_carry</w:t>
            </w:r>
            <w:proofErr w:type="spellEnd"/>
          </w:p>
        </w:tc>
        <w:tc>
          <w:tcPr>
            <w:tcW w:w="3500" w:type="dxa"/>
            <w:vAlign w:val="center"/>
          </w:tcPr>
          <w:p w14:paraId="3CC8D2D5" w14:textId="77777777" w:rsidR="005674BA" w:rsidRDefault="00D312C8">
            <w:pPr>
              <w:spacing w:after="0"/>
            </w:pPr>
            <w:r>
              <w:rPr>
                <w:sz w:val="16"/>
              </w:rPr>
              <w:t xml:space="preserve">Carry from a flank to the same flank </w:t>
            </w:r>
            <w:proofErr w:type="gramStart"/>
            <w:r>
              <w:rPr>
                <w:sz w:val="16"/>
              </w:rPr>
              <w:t xml:space="preserve">with </w:t>
            </w:r>
            <w:proofErr w:type="gramEnd"/>
            <m:oMath>
              <m:r>
                <w:rPr>
                  <w:rFonts w:ascii="Cambria Math" w:hAnsi="Cambria Math"/>
                </w:rPr>
                <m:t>Δx</m:t>
              </m:r>
              <m:r>
                <m:rPr>
                  <m:sty m:val="p"/>
                </m:rPr>
                <w:rPr>
                  <w:rFonts w:ascii="Cambria Math" w:hAnsi="Cambria Math"/>
                </w:rPr>
                <m:t>≤-</m:t>
              </m:r>
              <m:r>
                <w:rPr>
                  <w:rFonts w:ascii="Cambria Math" w:hAnsi="Cambria Math"/>
                </w:rPr>
                <m:t>4 </m:t>
              </m:r>
              <m:r>
                <m:rPr>
                  <m:sty m:val="p"/>
                </m:rPr>
                <w:rPr>
                  <w:rFonts w:ascii="Cambria Math" w:hAnsi="Cambria Math"/>
                </w:rPr>
                <m:t>m</m:t>
              </m:r>
            </m:oMath>
            <w:r>
              <w:rPr>
                <w:sz w:val="16"/>
              </w:rPr>
              <w:t>.</w:t>
            </w:r>
          </w:p>
        </w:tc>
      </w:tr>
    </w:tbl>
    <w:p w14:paraId="4845606C" w14:textId="77777777" w:rsidR="005674BA" w:rsidRDefault="00D312C8">
      <w:pPr>
        <w:pStyle w:val="Heading2"/>
      </w:pPr>
      <w:r>
        <w:rPr>
          <w:rFonts w:ascii="Times New Roman" w:hAnsi="Times New Roman"/>
        </w:rPr>
        <w:t>4.2 Sequential Pattern Mining</w:t>
      </w:r>
    </w:p>
    <w:p w14:paraId="2890F9B6" w14:textId="77777777" w:rsidR="005674BA" w:rsidRDefault="00D312C8">
      <w:pPr>
        <w:ind w:firstLine="288"/>
        <w:jc w:val="both"/>
      </w:pPr>
      <w:r>
        <w:t xml:space="preserve">Each item is a tuple (predicate, action type, channel, pitch third), and </w:t>
      </w:r>
      <m:oMath>
        <m:r>
          <w:rPr>
            <w:rFonts w:ascii="Cambria Math" w:hAnsi="Cambria Math"/>
          </w:rPr>
          <m:t>M</m:t>
        </m:r>
        <m:d>
          <m:dPr>
            <m:ctrlPr>
              <w:rPr>
                <w:rFonts w:ascii="Cambria Math" w:hAnsi="Cambria Math"/>
              </w:rPr>
            </m:ctrlPr>
          </m:dPr>
          <m:e>
            <m:r>
              <w:rPr>
                <w:rFonts w:ascii="Cambria Math" w:hAnsi="Cambria Math"/>
              </w:rPr>
              <m:t>a</m:t>
            </m:r>
          </m:e>
        </m:d>
      </m:oMath>
      <w:r>
        <w:t xml:space="preserve"> is the set of items for action a. A </w:t>
      </w:r>
      <w:proofErr w:type="gramStart"/>
      <w:r>
        <w:t xml:space="preserve">pattern </w:t>
      </w:r>
      <w:proofErr w:type="gramEnd"/>
      <m:oMath>
        <m:r>
          <w:rPr>
            <w:rFonts w:ascii="Cambria Math" w:hAnsi="Cambria Math"/>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ι</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ι</m:t>
                </m:r>
              </m:e>
              <m:sub>
                <m:r>
                  <w:rPr>
                    <w:rFonts w:ascii="Cambria Math" w:hAnsi="Cambria Math"/>
                  </w:rPr>
                  <m:t>k</m:t>
                </m:r>
              </m:sub>
            </m:sSub>
          </m:e>
        </m:d>
      </m:oMath>
      <w:r>
        <w:t xml:space="preserve">, with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maximum gap </w:t>
      </w:r>
      <m:oMath>
        <m:r>
          <w:rPr>
            <w:rFonts w:ascii="Cambria Math" w:hAnsi="Cambria Math"/>
          </w:rPr>
          <m:t>g</m:t>
        </m:r>
        <m:r>
          <m:rPr>
            <m:sty m:val="p"/>
          </m:rPr>
          <w:rPr>
            <w:rFonts w:ascii="Cambria Math" w:hAnsi="Cambria Math"/>
          </w:rPr>
          <m:t>=</m:t>
        </m:r>
        <m:r>
          <w:rPr>
            <w:rFonts w:ascii="Cambria Math" w:hAnsi="Cambria Math"/>
          </w:rPr>
          <m:t>2</m:t>
        </m:r>
      </m:oMath>
      <w:r>
        <w:t xml:space="preserve"> [1], matches sequence S if:</w:t>
      </w:r>
    </w:p>
    <w:tbl>
      <w:tblPr>
        <w:tblW w:w="470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0"/>
        <w:gridCol w:w="3900"/>
        <w:gridCol w:w="400"/>
      </w:tblGrid>
      <w:tr w:rsidR="00626BB0" w14:paraId="327830D5" w14:textId="77777777">
        <w:trPr>
          <w:cantSplit/>
          <w:jc w:val="center"/>
        </w:trPr>
        <w:tc>
          <w:tcPr>
            <w:tcW w:w="400" w:type="dxa"/>
            <w:vAlign w:val="center"/>
          </w:tcPr>
          <w:p w14:paraId="6E0A63E7" w14:textId="77777777" w:rsidR="00626BB0" w:rsidRDefault="00626BB0">
            <w:pPr>
              <w:spacing w:after="0"/>
            </w:pPr>
          </w:p>
        </w:tc>
        <w:tc>
          <w:tcPr>
            <w:tcW w:w="3900" w:type="dxa"/>
            <w:vAlign w:val="center"/>
          </w:tcPr>
          <w:p w14:paraId="1FA780BE" w14:textId="77777777" w:rsidR="00626BB0" w:rsidRDefault="007B2F4B">
            <w:pPr>
              <w:spacing w:after="0"/>
              <w:jc w:val="cente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t>
                      </m:r>
                    </m:e>
                    <m:e>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&lt;…&lt;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ι</m:t>
                          </m:r>
                        </m:e>
                        <m:sub>
                          <m:r>
                            <w:rPr>
                              <w:rFonts w:ascii="Cambria Math" w:hAnsi="Cambria Math"/>
                            </w:rPr>
                            <m:t>j</m:t>
                          </m:r>
                        </m:sub>
                      </m:sSub>
                      <m:r>
                        <m:rPr>
                          <m:sty m:val="p"/>
                        </m:rPr>
                        <w:rPr>
                          <w:rFonts w:ascii="Cambria Math" w:hAnsi="Cambria Math"/>
                        </w:rPr>
                        <m:t>∈</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t</m:t>
                                  </m:r>
                                </m:e>
                                <m:sub>
                                  <m:r>
                                    <w:rPr>
                                      <w:rFonts w:ascii="Cambria Math" w:hAnsi="Cambria Math"/>
                                    </w:rPr>
                                    <m:t>j</m:t>
                                  </m:r>
                                </m:sub>
                              </m:sSub>
                            </m:sub>
                          </m:sSub>
                        </m:e>
                      </m:d>
                    </m:e>
                  </m:mr>
                  <m:mr>
                    <m:e/>
                    <m:e>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e>
                  </m:mr>
                </m:m>
              </m:oMath>
            </m:oMathPara>
          </w:p>
        </w:tc>
        <w:tc>
          <w:tcPr>
            <w:tcW w:w="400" w:type="dxa"/>
            <w:vAlign w:val="center"/>
          </w:tcPr>
          <w:p w14:paraId="7427B5D9" w14:textId="77777777" w:rsidR="00626BB0" w:rsidRDefault="00C460CC">
            <w:pPr>
              <w:spacing w:after="0"/>
              <w:jc w:val="right"/>
            </w:pPr>
            <w:r>
              <w:t>(3)</w:t>
            </w:r>
          </w:p>
        </w:tc>
      </w:tr>
    </w:tbl>
    <w:p w14:paraId="47F61D8A" w14:textId="77777777" w:rsidR="005674BA" w:rsidRDefault="00D312C8">
      <w:pPr>
        <w:spacing w:before="60"/>
        <w:ind w:firstLine="288"/>
        <w:jc w:val="both"/>
      </w:pPr>
      <w:r>
        <w:t xml:space="preserve">Patterns are mined only from negative training examples within each fold (closed patterns with respect to support under the stated search bounds), then counted on non-negative training examples. The terminal action is removed before mining. Predicates that inspect the following action (e.g., </w:t>
      </w:r>
      <w:proofErr w:type="spellStart"/>
      <w:r>
        <w:t>line_pass</w:t>
      </w:r>
      <w:proofErr w:type="spellEnd"/>
      <w:r>
        <w:t xml:space="preserve"> and </w:t>
      </w:r>
      <w:proofErr w:type="spellStart"/>
      <w:r>
        <w:t>first_time_play</w:t>
      </w:r>
      <w:proofErr w:type="spellEnd"/>
      <w:r>
        <w:t xml:space="preserve">) are masked on the last retained action. To reduce confounding by context composition (start location, pressure, and length category), rates are standardized over strata </w:t>
      </w:r>
      <m:oMath>
        <m:r>
          <m:rPr>
            <m:scr m:val="script"/>
            <m:sty m:val="p"/>
          </m:rPr>
          <w:rPr>
            <w:rFonts w:ascii="Cambria Math" w:hAnsi="Cambria Math"/>
          </w:rPr>
          <m:t>S</m:t>
        </m:r>
      </m:oMath>
      <w:r>
        <w:t xml:space="preserve"> shared by the negative and non-negative classes. Let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be the negative and non-negative training examples in </w:t>
      </w:r>
      <w:proofErr w:type="gramStart"/>
      <w:r>
        <w:t xml:space="preserve">stratum </w:t>
      </w:r>
      <w:proofErr w:type="gramEnd"/>
      <m:oMath>
        <m:r>
          <w:rPr>
            <w:rFonts w:ascii="Cambria Math" w:hAnsi="Cambria Math"/>
          </w:rPr>
          <m:t>s</m:t>
        </m:r>
      </m:oMath>
      <w:r>
        <w:t xml:space="preserve">, </w:t>
      </w:r>
      <m:oMath>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e>
        </m:d>
        <m:r>
          <w:rPr>
            <w:rFonts w:ascii="Cambria Math" w:hAnsi="Cambria Math"/>
          </w:rPr>
          <m:t> </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r>
                      <m:rPr>
                        <m:sty m:val="p"/>
                      </m:rPr>
                      <w:rPr>
                        <w:rFonts w:ascii="Cambria Math" w:hAnsi="Cambria Math"/>
                      </w:rPr>
                      <m:t>'</m:t>
                    </m:r>
                  </m:sub>
                </m:sSub>
              </m:e>
            </m:d>
          </m:e>
        </m:nary>
      </m:oMath>
      <w:r>
        <w:t xml:space="preserve">, and </w:t>
      </w:r>
      <m:oMath>
        <m:r>
          <w:rPr>
            <w:rFonts w:ascii="Cambria Math" w:hAnsi="Cambria Math"/>
          </w:rPr>
          <m:t>α</m:t>
        </m:r>
        <m:r>
          <m:rPr>
            <m:sty m:val="p"/>
          </m:rPr>
          <w:rPr>
            <w:rFonts w:ascii="Cambria Math" w:hAnsi="Cambria Math"/>
          </w:rPr>
          <m:t>=</m:t>
        </m:r>
        <m:r>
          <w:rPr>
            <w:rFonts w:ascii="Cambria Math" w:hAnsi="Cambria Math"/>
          </w:rPr>
          <m:t>0.5</m:t>
        </m:r>
      </m:oMath>
      <w:r>
        <w:t>:</w:t>
      </w:r>
    </w:p>
    <w:tbl>
      <w:tblPr>
        <w:tblW w:w="470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0"/>
        <w:gridCol w:w="3900"/>
        <w:gridCol w:w="400"/>
      </w:tblGrid>
      <w:tr w:rsidR="00626BB0" w14:paraId="1913DAE6" w14:textId="77777777">
        <w:trPr>
          <w:cantSplit/>
          <w:jc w:val="center"/>
        </w:trPr>
        <w:tc>
          <w:tcPr>
            <w:tcW w:w="400" w:type="dxa"/>
            <w:vAlign w:val="center"/>
          </w:tcPr>
          <w:p w14:paraId="373C19FE" w14:textId="77777777" w:rsidR="00626BB0" w:rsidRDefault="00626BB0">
            <w:pPr>
              <w:spacing w:after="0"/>
            </w:pPr>
          </w:p>
        </w:tc>
        <w:tc>
          <w:tcPr>
            <w:tcW w:w="3900" w:type="dxa"/>
            <w:vAlign w:val="center"/>
          </w:tcPr>
          <w:p w14:paraId="17BDF5FA" w14:textId="77777777" w:rsidR="00626BB0" w:rsidRDefault="007B2F4B">
            <w:pPr>
              <w:spacing w:after="0"/>
              <w:jc w:val="cente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d>
                        <m:dPr>
                          <m:ctrlPr>
                            <w:rPr>
                              <w:rFonts w:ascii="Cambria Math" w:hAnsi="Cambria Math"/>
                            </w:rPr>
                          </m:ctrlPr>
                        </m:dPr>
                        <m:e>
                          <m:r>
                            <w:rPr>
                              <w:rFonts w:ascii="Cambria Math" w:hAnsi="Cambria Math"/>
                            </w:rPr>
                            <m:t>p</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s</m:t>
                              </m:r>
                            </m:sub>
                          </m:sSub>
                        </m:e>
                      </m:nary>
                      <m:r>
                        <w:rPr>
                          <w:rFonts w:ascii="Cambria Math" w:hAnsi="Cambria Math"/>
                        </w:rPr>
                        <m:t> </m:t>
                      </m:r>
                      <m:f>
                        <m:fPr>
                          <m:ctrlPr>
                            <w:rPr>
                              <w:rFonts w:ascii="Cambria Math" w:hAnsi="Cambria Math"/>
                            </w:rPr>
                          </m:ctrlPr>
                        </m:fPr>
                        <m:num>
                          <m:sSub>
                            <m:sSubPr>
                              <m:ctrlPr>
                                <w:rPr>
                                  <w:rFonts w:ascii="Cambria Math" w:hAnsi="Cambria Math"/>
                                </w:rPr>
                              </m:ctrlPr>
                            </m:sSubPr>
                            <m:e>
                              <m:r>
                                <m:rPr>
                                  <m:sty m:val="p"/>
                                </m:rPr>
                                <w:rPr>
                                  <w:rFonts w:ascii="Cambria Math" w:hAnsi="Cambria Math"/>
                                </w:rPr>
                                <m:t>sup</m:t>
                              </m:r>
                            </m:e>
                            <m:sub>
                              <m:sSub>
                                <m:sSubPr>
                                  <m:ctrlPr>
                                    <w:rPr>
                                      <w:rFonts w:ascii="Cambria Math" w:hAnsi="Cambria Math"/>
                                    </w:rPr>
                                  </m:ctrlPr>
                                </m:sSubPr>
                                <m:e>
                                  <m:r>
                                    <w:rPr>
                                      <w:rFonts w:ascii="Cambria Math" w:hAnsi="Cambria Math"/>
                                    </w:rPr>
                                    <m:t>T</m:t>
                                  </m:r>
                                </m:e>
                                <m:sub>
                                  <m:r>
                                    <w:rPr>
                                      <w:rFonts w:ascii="Cambria Math" w:hAnsi="Cambria Math"/>
                                    </w:rPr>
                                    <m:t>s</m:t>
                                  </m:r>
                                </m:sub>
                              </m:sSub>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e>
                          </m:d>
                          <m:r>
                            <m:rPr>
                              <m:sty m:val="p"/>
                            </m:rPr>
                            <w:rPr>
                              <w:rFonts w:ascii="Cambria Math" w:hAnsi="Cambria Math"/>
                            </w:rPr>
                            <m:t>+</m:t>
                          </m:r>
                          <m:r>
                            <w:rPr>
                              <w:rFonts w:ascii="Cambria Math" w:hAnsi="Cambria Math"/>
                            </w:rPr>
                            <m:t>2α</m:t>
                          </m:r>
                        </m:den>
                      </m:f>
                    </m:e>
                  </m:mr>
                  <m:m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d>
                        <m:dPr>
                          <m:ctrlPr>
                            <w:rPr>
                              <w:rFonts w:ascii="Cambria Math" w:hAnsi="Cambria Math"/>
                            </w:rPr>
                          </m:ctrlPr>
                        </m:dPr>
                        <m:e>
                          <m:r>
                            <w:rPr>
                              <w:rFonts w:ascii="Cambria Math" w:hAnsi="Cambria Math"/>
                            </w:rPr>
                            <m:t>p</m:t>
                          </m:r>
                        </m:e>
                      </m:d>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cr m:val="script"/>
                              <m:sty m:val="p"/>
                            </m:rP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s</m:t>
                              </m:r>
                            </m:sub>
                          </m:sSub>
                        </m:e>
                      </m:nary>
                      <m:r>
                        <w:rPr>
                          <w:rFonts w:ascii="Cambria Math" w:hAnsi="Cambria Math"/>
                        </w:rPr>
                        <m:t> </m:t>
                      </m:r>
                      <m:f>
                        <m:fPr>
                          <m:ctrlPr>
                            <w:rPr>
                              <w:rFonts w:ascii="Cambria Math" w:hAnsi="Cambria Math"/>
                            </w:rPr>
                          </m:ctrlPr>
                        </m:fPr>
                        <m:num>
                          <m:sSub>
                            <m:sSubPr>
                              <m:ctrlPr>
                                <w:rPr>
                                  <w:rFonts w:ascii="Cambria Math" w:hAnsi="Cambria Math"/>
                                </w:rPr>
                              </m:ctrlPr>
                            </m:sSubPr>
                            <m:e>
                              <m:r>
                                <m:rPr>
                                  <m:sty m:val="p"/>
                                </m:rPr>
                                <w:rPr>
                                  <w:rFonts w:ascii="Cambria Math" w:hAnsi="Cambria Math"/>
                                </w:rPr>
                                <m:t>sup</m:t>
                              </m:r>
                            </m:e>
                            <m:sub>
                              <m:sSub>
                                <m:sSubPr>
                                  <m:ctrlPr>
                                    <w:rPr>
                                      <w:rFonts w:ascii="Cambria Math" w:hAnsi="Cambria Math"/>
                                    </w:rPr>
                                  </m:ctrlPr>
                                </m:sSubPr>
                                <m:e>
                                  <m:r>
                                    <w:rPr>
                                      <w:rFonts w:ascii="Cambria Math" w:hAnsi="Cambria Math"/>
                                    </w:rPr>
                                    <m:t>C</m:t>
                                  </m:r>
                                </m:e>
                                <m:sub>
                                  <m:r>
                                    <w:rPr>
                                      <w:rFonts w:ascii="Cambria Math" w:hAnsi="Cambria Math"/>
                                    </w:rPr>
                                    <m:t>s</m:t>
                                  </m:r>
                                </m:sub>
                              </m:sSub>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r>
                            <w:rPr>
                              <w:rFonts w:ascii="Cambria Math" w:hAnsi="Cambria Math"/>
                            </w:rPr>
                            <m:t>2α</m:t>
                          </m:r>
                        </m:den>
                      </m:f>
                    </m:e>
                  </m:mr>
                  <m:mr>
                    <m:e>
                      <m:r>
                        <m:rPr>
                          <m:sty m:val="p"/>
                        </m:rPr>
                        <w:rPr>
                          <w:rFonts w:ascii="Cambria Math" w:hAnsi="Cambria Math"/>
                        </w:rPr>
                        <m:t>GR</m:t>
                      </m:r>
                      <m:d>
                        <m:dPr>
                          <m:ctrlPr>
                            <w:rPr>
                              <w:rFonts w:ascii="Cambria Math" w:hAnsi="Cambria Math"/>
                            </w:rPr>
                          </m:ctrlPr>
                        </m:dPr>
                        <m:e>
                          <m:r>
                            <w:rPr>
                              <w:rFonts w:ascii="Cambria Math" w:hAnsi="Cambria Math"/>
                            </w:rPr>
                            <m:t>p</m:t>
                          </m:r>
                        </m:e>
                      </m:d>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T</m:t>
                              </m:r>
                            </m:sub>
                          </m:sSub>
                          <m:d>
                            <m:dPr>
                              <m:ctrlPr>
                                <w:rPr>
                                  <w:rFonts w:ascii="Cambria Math" w:hAnsi="Cambria Math"/>
                                </w:rPr>
                              </m:ctrlPr>
                            </m:dPr>
                            <m:e>
                              <m:r>
                                <w:rPr>
                                  <w:rFonts w:ascii="Cambria Math" w:hAnsi="Cambria Math"/>
                                </w:rPr>
                                <m:t>p</m:t>
                              </m:r>
                            </m:e>
                          </m:d>
                        </m:num>
                        <m:den>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C</m:t>
                              </m:r>
                            </m:sub>
                          </m:sSub>
                          <m:d>
                            <m:dPr>
                              <m:ctrlPr>
                                <w:rPr>
                                  <w:rFonts w:ascii="Cambria Math" w:hAnsi="Cambria Math"/>
                                </w:rPr>
                              </m:ctrlPr>
                            </m:dPr>
                            <m:e>
                              <m:r>
                                <w:rPr>
                                  <w:rFonts w:ascii="Cambria Math" w:hAnsi="Cambria Math"/>
                                </w:rPr>
                                <m:t>p</m:t>
                              </m:r>
                            </m:e>
                          </m:d>
                        </m:den>
                      </m:f>
                    </m:e>
                  </m:mr>
                </m:m>
              </m:oMath>
            </m:oMathPara>
          </w:p>
        </w:tc>
        <w:tc>
          <w:tcPr>
            <w:tcW w:w="400" w:type="dxa"/>
            <w:vAlign w:val="center"/>
          </w:tcPr>
          <w:p w14:paraId="5C35DAB3" w14:textId="77777777" w:rsidR="00626BB0" w:rsidRDefault="00C460CC">
            <w:pPr>
              <w:spacing w:after="0"/>
              <w:jc w:val="right"/>
            </w:pPr>
            <w:r>
              <w:t>(4)</w:t>
            </w:r>
          </w:p>
        </w:tc>
      </w:tr>
    </w:tbl>
    <w:p w14:paraId="29C1632D" w14:textId="77777777" w:rsidR="005674BA" w:rsidRDefault="00D312C8">
      <w:pPr>
        <w:spacing w:before="60" w:after="80"/>
        <w:ind w:firstLine="288"/>
        <w:jc w:val="both"/>
      </w:pPr>
      <w:r>
        <w:t xml:space="preserve">A pattern is accepted when it matches at least five negative sequences and </w:t>
      </w:r>
      <m:oMath>
        <m:r>
          <m:rPr>
            <m:sty m:val="p"/>
          </m:rPr>
          <w:rPr>
            <w:rFonts w:ascii="Cambria Math" w:hAnsi="Cambria Math"/>
          </w:rPr>
          <m:t>GR≥</m:t>
        </m:r>
        <m:r>
          <w:rPr>
            <w:rFonts w:ascii="Cambria Math" w:hAnsi="Cambria Math"/>
          </w:rPr>
          <m:t>1.5</m:t>
        </m:r>
      </m:oMath>
      <w:r>
        <w:t xml:space="preserve"> [9]; this is a training-set ranking criterion, not a significance test. Accepted patterns are sorted by GR, then negative support, then shorter length. Up to the top eight become </w:t>
      </w:r>
      <w:proofErr w:type="spellStart"/>
      <w:r>
        <w:t>seq_pattern_XX</w:t>
      </w:r>
      <w:proofErr w:type="spellEnd"/>
      <w:r>
        <w:t>(S), expressing only whether the ordered pattern occurs in the prefix. Our miner is a bounded, prefix-based, gap-constrained, support-closed variant, not a canonical implementation of Gap-BIDE [15].</w:t>
      </w:r>
    </w:p>
    <w:p w14:paraId="7B0682F8" w14:textId="77777777" w:rsidR="005674BA" w:rsidRDefault="00D312C8">
      <w:pPr>
        <w:pStyle w:val="Heading2"/>
      </w:pPr>
      <w:r>
        <w:rPr>
          <w:rFonts w:ascii="Times New Roman" w:hAnsi="Times New Roman"/>
        </w:rPr>
        <w:t>4.3 Popper Learning</w:t>
      </w:r>
    </w:p>
    <w:p w14:paraId="43DB6B31" w14:textId="77777777" w:rsidR="005674BA" w:rsidRDefault="00D312C8">
      <w:pPr>
        <w:ind w:firstLine="288"/>
        <w:jc w:val="both"/>
      </w:pPr>
      <w:r>
        <w:t>In its noisy setting, Popper searches for a program with minimum MDL cost:</w:t>
      </w:r>
    </w:p>
    <w:tbl>
      <w:tblPr>
        <w:tblW w:w="470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0"/>
        <w:gridCol w:w="3900"/>
        <w:gridCol w:w="400"/>
      </w:tblGrid>
      <w:tr w:rsidR="00626BB0" w14:paraId="2C565C41" w14:textId="77777777">
        <w:trPr>
          <w:cantSplit/>
          <w:jc w:val="center"/>
        </w:trPr>
        <w:tc>
          <w:tcPr>
            <w:tcW w:w="400" w:type="dxa"/>
            <w:vAlign w:val="center"/>
          </w:tcPr>
          <w:p w14:paraId="53ABFD75" w14:textId="77777777" w:rsidR="00626BB0" w:rsidRDefault="00626BB0">
            <w:pPr>
              <w:spacing w:after="0"/>
            </w:pPr>
          </w:p>
        </w:tc>
        <w:tc>
          <w:tcPr>
            <w:tcW w:w="3900" w:type="dxa"/>
            <w:vAlign w:val="center"/>
          </w:tcPr>
          <w:p w14:paraId="0827565C" w14:textId="77777777" w:rsidR="00626BB0" w:rsidRDefault="00C460CC">
            <w:pPr>
              <w:spacing w:after="0"/>
              <w:jc w:val="center"/>
            </w:pPr>
            <m:oMathPara>
              <m:oMathParaPr>
                <m:jc m:val="center"/>
              </m:oMathParaPr>
              <m:oMath>
                <m:r>
                  <m:rPr>
                    <m:sty m:val="p"/>
                  </m:rPr>
                  <w:rPr>
                    <w:rFonts w:ascii="Cambria Math" w:hAnsi="Cambria Math"/>
                  </w:rPr>
                  <m:t>cost</m:t>
                </m:r>
                <m:d>
                  <m:dPr>
                    <m:ctrlPr>
                      <w:rPr>
                        <w:rFonts w:ascii="Cambria Math" w:hAnsi="Cambria Math"/>
                      </w:rPr>
                    </m:ctrlPr>
                  </m:dPr>
                  <m:e>
                    <m:r>
                      <w:rPr>
                        <w:rFonts w:ascii="Cambria Math" w:hAnsi="Cambria Math"/>
                      </w:rPr>
                      <m:t>h</m:t>
                    </m:r>
                  </m:e>
                </m:d>
                <m:r>
                  <m:rPr>
                    <m:sty m:val="p"/>
                  </m:rPr>
                  <w:rPr>
                    <w:rFonts w:ascii="Cambria Math" w:hAnsi="Cambria Math"/>
                  </w:rPr>
                  <m:t>=size</m:t>
                </m:r>
                <m:d>
                  <m:dPr>
                    <m:ctrlPr>
                      <w:rPr>
                        <w:rFonts w:ascii="Cambria Math" w:hAnsi="Cambria Math"/>
                      </w:rPr>
                    </m:ctrlPr>
                  </m:dPr>
                  <m:e>
                    <m:r>
                      <w:rPr>
                        <w:rFonts w:ascii="Cambria Math" w:hAnsi="Cambria Math"/>
                      </w:rPr>
                      <m:t>h</m:t>
                    </m:r>
                  </m:e>
                </m:d>
                <m:r>
                  <m:rPr>
                    <m:sty m:val="p"/>
                  </m:rPr>
                  <w:rPr>
                    <w:rFonts w:ascii="Cambria Math" w:hAnsi="Cambria Math"/>
                  </w:rPr>
                  <m:t>+FN</m:t>
                </m:r>
                <m:d>
                  <m:dPr>
                    <m:ctrlPr>
                      <w:rPr>
                        <w:rFonts w:ascii="Cambria Math" w:hAnsi="Cambria Math"/>
                      </w:rPr>
                    </m:ctrlPr>
                  </m:dPr>
                  <m:e>
                    <m:r>
                      <w:rPr>
                        <w:rFonts w:ascii="Cambria Math" w:hAnsi="Cambria Math"/>
                      </w:rPr>
                      <m:t>h</m:t>
                    </m:r>
                  </m:e>
                </m:d>
                <m:r>
                  <m:rPr>
                    <m:sty m:val="p"/>
                  </m:rPr>
                  <w:rPr>
                    <w:rFonts w:ascii="Cambria Math" w:hAnsi="Cambria Math"/>
                  </w:rPr>
                  <m:t>+FP</m:t>
                </m:r>
                <m:d>
                  <m:dPr>
                    <m:ctrlPr>
                      <w:rPr>
                        <w:rFonts w:ascii="Cambria Math" w:hAnsi="Cambria Math"/>
                      </w:rPr>
                    </m:ctrlPr>
                  </m:dPr>
                  <m:e>
                    <m:r>
                      <w:rPr>
                        <w:rFonts w:ascii="Cambria Math" w:hAnsi="Cambria Math"/>
                      </w:rPr>
                      <m:t>h</m:t>
                    </m:r>
                  </m:e>
                </m:d>
              </m:oMath>
            </m:oMathPara>
          </w:p>
        </w:tc>
        <w:tc>
          <w:tcPr>
            <w:tcW w:w="400" w:type="dxa"/>
            <w:vAlign w:val="center"/>
          </w:tcPr>
          <w:p w14:paraId="50000897" w14:textId="77777777" w:rsidR="00626BB0" w:rsidRDefault="00C460CC">
            <w:pPr>
              <w:spacing w:after="0"/>
              <w:jc w:val="right"/>
            </w:pPr>
            <w:r>
              <w:t>(5)</w:t>
            </w:r>
          </w:p>
        </w:tc>
      </w:tr>
    </w:tbl>
    <w:p w14:paraId="081DE376" w14:textId="77777777" w:rsidR="005674BA" w:rsidRDefault="00D312C8">
      <w:pPr>
        <w:spacing w:before="60" w:after="80"/>
        <w:ind w:firstLine="288"/>
        <w:jc w:val="both"/>
      </w:pPr>
      <w:r>
        <w:t xml:space="preserve">Here size counts literals and </w:t>
      </w:r>
      <m:oMath>
        <m:r>
          <m:rPr>
            <m:sty m:val="p"/>
          </m:rPr>
          <w:rPr>
            <w:rFonts w:ascii="Cambria Math" w:hAnsi="Cambria Math"/>
          </w:rPr>
          <m:t>FN/FP</m:t>
        </m:r>
      </m:oMath>
      <w:r>
        <w:t xml:space="preserve"> are training errors. A single-atom clause has size 2 and reduces cost only if it adds at least three net true positives, consistent with </w:t>
      </w:r>
      <w:proofErr w:type="spellStart"/>
      <w:r>
        <w:t>low_support</w:t>
      </w:r>
      <w:proofErr w:type="spellEnd"/>
      <w:r>
        <w:t xml:space="preserve">=3. Settings: target </w:t>
      </w:r>
      <w:proofErr w:type="spellStart"/>
      <w:r>
        <w:t>negative_outcome</w:t>
      </w:r>
      <w:proofErr w:type="spellEnd"/>
      <w:r>
        <w:t xml:space="preserve">(S); at most two variables, three body literals, and four clauses (logical OR); BK with 34 predicates and at most eight pattern atoms; 600 seconds per fold. With 42 predicates, the unconstrained program space has an upper bound of </w:t>
      </w:r>
      <w:proofErr w:type="gramStart"/>
      <w:r>
        <w:t xml:space="preserve">roughly </w:t>
      </w:r>
      <w:proofErr w:type="gramEnd"/>
      <m:oMath>
        <m:sSup>
          <m:sSupPr>
            <m:ctrlPr>
              <w:rPr>
                <w:rFonts w:ascii="Cambria Math" w:hAnsi="Cambria Math"/>
              </w:rPr>
            </m:ctrlPr>
          </m:sSupPr>
          <m:e>
            <m:r>
              <w:rPr>
                <w:rFonts w:ascii="Cambria Math" w:hAnsi="Cambria Math"/>
              </w:rPr>
              <m:t>10</m:t>
            </m:r>
          </m:e>
          <m:sup>
            <m:r>
              <w:rPr>
                <w:rFonts w:ascii="Cambria Math" w:hAnsi="Cambria Math"/>
              </w:rPr>
              <m:t>15</m:t>
            </m:r>
          </m:sup>
        </m:sSup>
      </m:oMath>
      <w:r>
        <w:t>, motivating clause and time limits. A timeout or NO SOLUTION is not counted as success.</w:t>
      </w:r>
    </w:p>
    <w:p w14:paraId="52819220" w14:textId="77777777" w:rsidR="005674BA" w:rsidRDefault="00D312C8">
      <w:pPr>
        <w:pStyle w:val="Heading2"/>
      </w:pPr>
      <w:r>
        <w:rPr>
          <w:rFonts w:ascii="Times New Roman" w:hAnsi="Times New Roman"/>
        </w:rPr>
        <w:t>4.4 Arms and Evaluation Protocol</w:t>
      </w:r>
    </w:p>
    <w:p w14:paraId="4FCFBD07" w14:textId="77777777" w:rsidR="005674BA" w:rsidRDefault="00D312C8">
      <w:pPr>
        <w:spacing w:after="80"/>
        <w:ind w:firstLine="288"/>
        <w:jc w:val="both"/>
      </w:pPr>
      <w:r>
        <w:t>Four arms use the same folds and test population: hybrid (34 predicates plus up to eight pattern atoms, with Popper clauses combined by OR); miner only (OR over the same mined patterns, ablating Popper); Popper without patterns (ablating the miner); and CART (Gini</w:t>
      </w:r>
      <w:proofErr w:type="gramStart"/>
      <w:r>
        <w:t xml:space="preserve">, </w:t>
      </w:r>
      <w:proofErr w:type="gramEnd"/>
      <m:oMath>
        <m:r>
          <m:rPr>
            <m:sty m:val="p"/>
          </m:rPr>
          <w:rPr>
            <w:rFonts w:ascii="Cambria Math" w:hAnsi="Cambria Math"/>
          </w:rPr>
          <m:t>depth≤</m:t>
        </m:r>
        <m:r>
          <w:rPr>
            <w:rFonts w:ascii="Cambria Math" w:hAnsi="Cambria Math"/>
          </w:rPr>
          <m:t>3</m:t>
        </m:r>
      </m:oMath>
      <w:r>
        <w:t>, at least 10 samples per leaf; [3]). Popper and CART train on matched controls, while the miner trains at natural prevalence. Comparisons therefore concern complete procedures, not isolated algorithm effects.</w:t>
      </w:r>
    </w:p>
    <w:p w14:paraId="6F93827E" w14:textId="77777777" w:rsidR="005674BA" w:rsidRDefault="00D312C8">
      <w:pPr>
        <w:ind w:firstLine="288"/>
        <w:jc w:val="both"/>
      </w:pPr>
      <w:r>
        <w:t>We use three-fold cross-validation grouped by match with a fixed seed. Predictions are aggregated out of fold (OOF) across all test sequences at natural prevalence:</w:t>
      </w:r>
    </w:p>
    <w:tbl>
      <w:tblPr>
        <w:tblW w:w="470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0"/>
        <w:gridCol w:w="3900"/>
        <w:gridCol w:w="400"/>
      </w:tblGrid>
      <w:tr w:rsidR="00626BB0" w14:paraId="7C00687E" w14:textId="77777777">
        <w:trPr>
          <w:cantSplit/>
          <w:jc w:val="center"/>
        </w:trPr>
        <w:tc>
          <w:tcPr>
            <w:tcW w:w="400" w:type="dxa"/>
            <w:vAlign w:val="center"/>
          </w:tcPr>
          <w:p w14:paraId="09020A85" w14:textId="77777777" w:rsidR="00626BB0" w:rsidRDefault="00626BB0">
            <w:pPr>
              <w:spacing w:after="0"/>
            </w:pPr>
          </w:p>
        </w:tc>
        <w:tc>
          <w:tcPr>
            <w:tcW w:w="3900" w:type="dxa"/>
            <w:vAlign w:val="center"/>
          </w:tcPr>
          <w:p w14:paraId="2E5A55C7" w14:textId="77777777" w:rsidR="00626BB0" w:rsidRDefault="00C460CC">
            <w:pPr>
              <w:spacing w:after="0"/>
              <w:jc w:val="center"/>
            </w:pPr>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r>
                  <m:rPr>
                    <m:sty m:val="p"/>
                  </m:rPr>
                  <w:rPr>
                    <w:rFonts w:ascii="Cambria Math" w:hAnsi="Cambria Math"/>
                  </w:rPr>
                  <m:t>,</m:t>
                </m:r>
                <m:r>
                  <w:rPr>
                    <w:rFonts w:ascii="Cambria Math" w:hAnsi="Cambria Math"/>
                  </w:rPr>
                  <m:t> R</m:t>
                </m:r>
                <m:r>
                  <m:rPr>
                    <m:sty m:val="p"/>
                  </m:rPr>
                  <w:rPr>
                    <w:rFonts w:ascii="Cambria Math" w:hAnsi="Cambria Math"/>
                  </w:rPr>
                  <m:t>=</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r>
                  <m:rPr>
                    <m:sty m:val="p"/>
                  </m:rPr>
                  <w:rPr>
                    <w:rFonts w:ascii="Cambria Math" w:hAnsi="Cambria Math"/>
                  </w:rPr>
                  <m:t>,</m:t>
                </m:r>
                <m:r>
                  <w:rPr>
                    <w:rFonts w:ascii="Cambria Math" w:hAnsi="Cambria Math"/>
                  </w:rPr>
                  <m:t> </m:t>
                </m:r>
                <m:r>
                  <m:rPr>
                    <m:sty m:val="p"/>
                  </m:rPr>
                  <w:rPr>
                    <w:rFonts w:ascii="Cambria Math" w:hAnsi="Cambria Math"/>
                  </w:rPr>
                  <m:t>Lift=</m:t>
                </m:r>
                <m:f>
                  <m:fPr>
                    <m:ctrlPr>
                      <w:rPr>
                        <w:rFonts w:ascii="Cambria Math" w:hAnsi="Cambria Math"/>
                      </w:rPr>
                    </m:ctrlPr>
                  </m:fPr>
                  <m:num>
                    <m:r>
                      <w:rPr>
                        <w:rFonts w:ascii="Cambria Math" w:hAnsi="Cambria Math"/>
                      </w:rPr>
                      <m:t>P</m:t>
                    </m:r>
                  </m:num>
                  <m:den>
                    <m:r>
                      <w:rPr>
                        <w:rFonts w:ascii="Cambria Math" w:hAnsi="Cambria Math"/>
                      </w:rPr>
                      <m:t>π</m:t>
                    </m:r>
                  </m:den>
                </m:f>
              </m:oMath>
            </m:oMathPara>
          </w:p>
        </w:tc>
        <w:tc>
          <w:tcPr>
            <w:tcW w:w="400" w:type="dxa"/>
            <w:vAlign w:val="center"/>
          </w:tcPr>
          <w:p w14:paraId="1E4C9BC4" w14:textId="77777777" w:rsidR="00626BB0" w:rsidRDefault="00C460CC">
            <w:pPr>
              <w:spacing w:after="0"/>
              <w:jc w:val="right"/>
            </w:pPr>
            <w:r>
              <w:t>(6)</w:t>
            </w:r>
          </w:p>
        </w:tc>
      </w:tr>
    </w:tbl>
    <w:p w14:paraId="36B5B61D" w14:textId="77777777" w:rsidR="005674BA" w:rsidRDefault="00D312C8">
      <w:pPr>
        <w:spacing w:before="60"/>
        <w:ind w:firstLine="288"/>
        <w:jc w:val="both"/>
      </w:pPr>
      <w:r>
        <w:t xml:space="preserve">We also report each rule’s seasonal rate: </w:t>
      </w:r>
      <m:oMath>
        <m:r>
          <w:rPr>
            <w:rFonts w:ascii="Cambria Math" w:hAnsi="Cambria Math"/>
          </w:rPr>
          <m:t>h</m:t>
        </m:r>
        <m:d>
          <m:dPr>
            <m:ctrlPr>
              <w:rPr>
                <w:rFonts w:ascii="Cambria Math" w:hAnsi="Cambria Math"/>
              </w:rPr>
            </m:ctrlPr>
          </m:dPr>
          <m:e>
            <m:r>
              <w:rPr>
                <w:rFonts w:ascii="Cambria Math" w:hAnsi="Cambria Math"/>
              </w:rPr>
              <m:t>p</m:t>
            </m:r>
          </m:e>
        </m:d>
      </m:oMath>
      <w:r>
        <w:t xml:space="preserve"> is the number of negative matches and </w:t>
      </w:r>
      <m:oMath>
        <m:r>
          <m:rPr>
            <m:sty m:val="p"/>
          </m:rPr>
          <w:rPr>
            <w:rFonts w:ascii="Cambria Math" w:hAnsi="Cambria Math"/>
          </w:rPr>
          <m:t>cov</m:t>
        </m:r>
        <m:d>
          <m:dPr>
            <m:ctrlPr>
              <w:rPr>
                <w:rFonts w:ascii="Cambria Math" w:hAnsi="Cambria Math"/>
              </w:rPr>
            </m:ctrlPr>
          </m:dPr>
          <m:e>
            <m:r>
              <w:rPr>
                <w:rFonts w:ascii="Cambria Math" w:hAnsi="Cambria Math"/>
              </w:rPr>
              <m:t>p</m:t>
            </m:r>
          </m:e>
        </m:d>
      </m:oMath>
      <w:r>
        <w:t xml:space="preserve"> is the total number of matching sequences.</w:t>
      </w:r>
    </w:p>
    <w:tbl>
      <w:tblPr>
        <w:tblW w:w="470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00"/>
        <w:gridCol w:w="3900"/>
        <w:gridCol w:w="400"/>
      </w:tblGrid>
      <w:tr w:rsidR="00626BB0" w14:paraId="2C564596" w14:textId="77777777">
        <w:trPr>
          <w:cantSplit/>
          <w:jc w:val="center"/>
        </w:trPr>
        <w:tc>
          <w:tcPr>
            <w:tcW w:w="400" w:type="dxa"/>
            <w:vAlign w:val="center"/>
          </w:tcPr>
          <w:p w14:paraId="684B729C" w14:textId="77777777" w:rsidR="00626BB0" w:rsidRDefault="00626BB0">
            <w:pPr>
              <w:spacing w:after="0"/>
            </w:pPr>
          </w:p>
        </w:tc>
        <w:tc>
          <w:tcPr>
            <w:tcW w:w="3900" w:type="dxa"/>
            <w:vAlign w:val="center"/>
          </w:tcPr>
          <w:p w14:paraId="3178B2D3" w14:textId="77777777" w:rsidR="00626BB0" w:rsidRDefault="00C460CC">
            <w:pPr>
              <w:spacing w:after="0"/>
              <w:jc w:val="center"/>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p</m:t>
                        </m:r>
                      </m:e>
                    </m:d>
                  </m:num>
                  <m:den>
                    <m:r>
                      <m:rPr>
                        <m:sty m:val="p"/>
                      </m:rPr>
                      <w:rPr>
                        <w:rFonts w:ascii="Cambria Math" w:hAnsi="Cambria Math"/>
                      </w:rPr>
                      <m:t>cov</m:t>
                    </m:r>
                    <m:d>
                      <m:dPr>
                        <m:ctrlPr>
                          <w:rPr>
                            <w:rFonts w:ascii="Cambria Math" w:hAnsi="Cambria Math"/>
                          </w:rPr>
                        </m:ctrlPr>
                      </m:dPr>
                      <m:e>
                        <m:r>
                          <w:rPr>
                            <w:rFonts w:ascii="Cambria Math" w:hAnsi="Cambria Math"/>
                          </w:rPr>
                          <m:t>p</m:t>
                        </m:r>
                      </m:e>
                    </m:d>
                  </m:den>
                </m:f>
              </m:oMath>
            </m:oMathPara>
          </w:p>
        </w:tc>
        <w:tc>
          <w:tcPr>
            <w:tcW w:w="400" w:type="dxa"/>
            <w:vAlign w:val="center"/>
          </w:tcPr>
          <w:p w14:paraId="751B1DE1" w14:textId="77777777" w:rsidR="00626BB0" w:rsidRDefault="00C460CC">
            <w:pPr>
              <w:spacing w:after="0"/>
              <w:jc w:val="right"/>
            </w:pPr>
            <w:r>
              <w:t>(7)</w:t>
            </w:r>
          </w:p>
        </w:tc>
      </w:tr>
    </w:tbl>
    <w:p w14:paraId="04B86749" w14:textId="77777777" w:rsidR="005674BA" w:rsidRDefault="00D312C8">
      <w:pPr>
        <w:spacing w:before="60" w:after="80"/>
        <w:ind w:firstLine="288"/>
        <w:jc w:val="both"/>
      </w:pPr>
      <w:r>
        <w:t xml:space="preserve">Coach review. For each rule, support, confidence, and lift are calculated on a fixed 75/25 match split. We flag </w:t>
      </w:r>
      <w:proofErr w:type="spellStart"/>
      <w:r>
        <w:t>low_support</w:t>
      </w:r>
      <w:proofErr w:type="spellEnd"/>
      <w:r>
        <w:t xml:space="preserve"> (support&lt;3) and a confidence decline exceeding 50% from training to holdout. An AFC-certified coach, without blinding, marks each rule approved or rejected and records notes. Holdout scores also inform candidate ranking, so this is not an independent estimate.</w:t>
      </w:r>
    </w:p>
    <w:p w14:paraId="315EFC31" w14:textId="77777777" w:rsidR="005674BA" w:rsidRDefault="00D312C8">
      <w:pPr>
        <w:pStyle w:val="Heading1"/>
        <w:jc w:val="center"/>
      </w:pPr>
      <w:r>
        <w:rPr>
          <w:rFonts w:ascii="Times New Roman" w:hAnsi="Times New Roman"/>
        </w:rPr>
        <w:t>5. Results</w:t>
      </w:r>
    </w:p>
    <w:p w14:paraId="23FD9EC5" w14:textId="77777777" w:rsidR="005674BA" w:rsidRDefault="00D312C8">
      <w:pPr>
        <w:pStyle w:val="Heading2"/>
      </w:pPr>
      <w:r>
        <w:rPr>
          <w:rFonts w:ascii="Times New Roman" w:hAnsi="Times New Roman"/>
        </w:rPr>
        <w:t>5.1 Arm Comparison</w:t>
      </w:r>
    </w:p>
    <w:p w14:paraId="53C0C388" w14:textId="77777777" w:rsidR="005674BA" w:rsidRDefault="00D312C8">
      <w:pPr>
        <w:spacing w:after="80"/>
        <w:ind w:firstLine="288"/>
        <w:jc w:val="both"/>
      </w:pPr>
      <w:r>
        <w:t>Table III reports the primary OOF comparison at natural prevalence. The methods share the same folds, sequences, and test labels (verified by SHA-256 for each fold).</w:t>
      </w:r>
    </w:p>
    <w:p w14:paraId="251A1BB0" w14:textId="77777777" w:rsidR="005674BA" w:rsidRDefault="00D312C8">
      <w:pPr>
        <w:spacing w:after="80"/>
        <w:ind w:firstLine="288"/>
        <w:jc w:val="both"/>
      </w:pPr>
      <w:r>
        <w:t>For Barcelona, the hybrid reaches precision 0.253 (lift 1.89) and the best MCC. Miner only (lift 2.03) and CART (1.44) also exceed the base rate; the reported lift confidence intervals for all three are above 1. For Leverkusen, intervals for the hybrid, miner, and CART include 1, while pattern-free Popper reaches lift 1.73 with precision CI 20–38% [26]. With three folds and no significance test, differences are inconclusive; no method wins in both team-seasons. Recall is deliberately low (5–17%): outputs are hypotheses, not comprehensive coverage.</w:t>
      </w:r>
    </w:p>
    <w:p w14:paraId="75A4FC43" w14:textId="77777777" w:rsidR="005674BA" w:rsidRDefault="00D312C8">
      <w:pPr>
        <w:pStyle w:val="Heading2"/>
      </w:pPr>
      <w:r>
        <w:rPr>
          <w:rFonts w:ascii="Times New Roman" w:hAnsi="Times New Roman"/>
        </w:rPr>
        <w:t>5.2 Discovered Rules</w:t>
      </w:r>
    </w:p>
    <w:p w14:paraId="556E8190" w14:textId="77777777" w:rsidR="005674BA" w:rsidRDefault="00D312C8">
      <w:pPr>
        <w:spacing w:after="80"/>
        <w:ind w:firstLine="288"/>
        <w:jc w:val="both"/>
      </w:pPr>
      <w:r>
        <w:t xml:space="preserve">The final Barcelona hybrid has four clauses (four sequential patterns), and the Leverkusen hybrid has three; </w:t>
      </w:r>
      <w:r>
        <w:lastRenderedPageBreak/>
        <w:t xml:space="preserve">in effect, each is an OR over unary pattern atoms. Multi-condition combinations such as B6 are intermediate cross-validation candidates, not clauses in the final program. </w:t>
      </w:r>
      <w:r>
        <w:t>Table IV shows six representative rules among the 12 reviewed. Rates are in-sample and the rules were selected partly for high rates, so they are optimistic.</w:t>
      </w:r>
    </w:p>
    <w:p w14:paraId="0B6D4875" w14:textId="77777777" w:rsidR="005674BA" w:rsidRDefault="005674BA">
      <w:pPr>
        <w:spacing w:after="0" w:line="20" w:lineRule="exact"/>
        <w:ind w:firstLine="288"/>
        <w:sectPr w:rsidR="005674BA">
          <w:type w:val="continuous"/>
          <w:pgSz w:w="11905" w:h="16838"/>
          <w:pgMar w:top="1080" w:right="891" w:bottom="1440" w:left="891" w:header="720" w:footer="720" w:gutter="0"/>
          <w:cols w:num="2" w:space="720"/>
          <w:docGrid w:linePitch="360"/>
        </w:sectPr>
      </w:pPr>
    </w:p>
    <w:p w14:paraId="7A816D7E" w14:textId="77777777" w:rsidR="005674BA" w:rsidRDefault="00D312C8">
      <w:pPr>
        <w:jc w:val="center"/>
      </w:pPr>
      <w:r>
        <w:rPr>
          <w:noProof/>
        </w:rPr>
        <w:drawing>
          <wp:inline distT="0" distB="0" distL="0" distR="0">
            <wp:extent cx="3878580" cy="17830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ule_rates.png"/>
                    <pic:cNvPicPr/>
                  </pic:nvPicPr>
                  <pic:blipFill>
                    <a:blip r:embed="rId15"/>
                    <a:stretch>
                      <a:fillRect/>
                    </a:stretch>
                  </pic:blipFill>
                  <pic:spPr>
                    <a:xfrm>
                      <a:off x="0" y="0"/>
                      <a:ext cx="3879465" cy="1783487"/>
                    </a:xfrm>
                    <a:prstGeom prst="rect">
                      <a:avLst/>
                    </a:prstGeom>
                  </pic:spPr>
                </pic:pic>
              </a:graphicData>
            </a:graphic>
          </wp:inline>
        </w:drawing>
      </w:r>
    </w:p>
    <w:p w14:paraId="5252756E" w14:textId="77777777" w:rsidR="005674BA" w:rsidRDefault="00D312C8">
      <w:pPr>
        <w:jc w:val="center"/>
      </w:pPr>
      <w:r>
        <w:rPr>
          <w:i/>
          <w:sz w:val="16"/>
        </w:rPr>
        <w:t>Fig. 2. Seasonal in-sample negative-outcome rates for the reviewed rules in Barcelona and Leverkusen. These selected-rule rates are descriptive and optimistic; they are not OOF arm-level lift estimates.</w:t>
      </w:r>
    </w:p>
    <w:p w14:paraId="406FE423" w14:textId="77777777" w:rsidR="005674BA" w:rsidRPr="00DA1186" w:rsidRDefault="00D312C8">
      <w:pPr>
        <w:jc w:val="center"/>
        <w:rPr>
          <w:i/>
          <w:iCs/>
          <w:sz w:val="18"/>
          <w:szCs w:val="20"/>
        </w:rPr>
      </w:pPr>
      <w:r w:rsidRPr="00DA1186">
        <w:rPr>
          <w:i/>
          <w:iCs/>
          <w:sz w:val="14"/>
          <w:szCs w:val="20"/>
        </w:rPr>
        <w:t>TABLE III. THREE-FOLD OOF RESULTS AT NATURAL PREVALENCE</w:t>
      </w:r>
    </w:p>
    <w:tbl>
      <w:tblPr>
        <w:tblStyle w:val="TableGrid"/>
        <w:tblW w:w="7992" w:type="dxa"/>
        <w:jc w:val="center"/>
        <w:tblLayout w:type="fixed"/>
        <w:tblLook w:val="04A0" w:firstRow="1" w:lastRow="0" w:firstColumn="1" w:lastColumn="0" w:noHBand="0" w:noVBand="1"/>
      </w:tblPr>
      <w:tblGrid>
        <w:gridCol w:w="1440"/>
        <w:gridCol w:w="2088"/>
        <w:gridCol w:w="1077"/>
        <w:gridCol w:w="795"/>
        <w:gridCol w:w="936"/>
        <w:gridCol w:w="864"/>
        <w:gridCol w:w="792"/>
      </w:tblGrid>
      <w:tr w:rsidR="005674BA" w14:paraId="4FBC4A1A" w14:textId="77777777" w:rsidTr="000377B9">
        <w:trPr>
          <w:tblHeader/>
          <w:jc w:val="center"/>
        </w:trPr>
        <w:tc>
          <w:tcPr>
            <w:tcW w:w="1440" w:type="dxa"/>
            <w:shd w:val="clear" w:color="auto" w:fill="DCE6F1"/>
            <w:vAlign w:val="center"/>
          </w:tcPr>
          <w:p w14:paraId="1F8FF120" w14:textId="77777777" w:rsidR="005674BA" w:rsidRDefault="00D312C8">
            <w:pPr>
              <w:spacing w:after="0"/>
            </w:pPr>
            <w:r>
              <w:rPr>
                <w:sz w:val="16"/>
              </w:rPr>
              <w:t>Team</w:t>
            </w:r>
          </w:p>
        </w:tc>
        <w:tc>
          <w:tcPr>
            <w:tcW w:w="2088" w:type="dxa"/>
            <w:shd w:val="clear" w:color="auto" w:fill="DCE6F1"/>
            <w:vAlign w:val="center"/>
          </w:tcPr>
          <w:p w14:paraId="70222D5E" w14:textId="77777777" w:rsidR="005674BA" w:rsidRDefault="00D312C8">
            <w:pPr>
              <w:spacing w:after="0"/>
            </w:pPr>
            <w:r>
              <w:rPr>
                <w:sz w:val="16"/>
              </w:rPr>
              <w:t>Method</w:t>
            </w:r>
          </w:p>
        </w:tc>
        <w:tc>
          <w:tcPr>
            <w:tcW w:w="1077" w:type="dxa"/>
            <w:shd w:val="clear" w:color="auto" w:fill="DCE6F1"/>
            <w:vAlign w:val="center"/>
          </w:tcPr>
          <w:p w14:paraId="6A3359B2" w14:textId="77777777" w:rsidR="005674BA" w:rsidRDefault="00D312C8">
            <w:pPr>
              <w:spacing w:after="0"/>
            </w:pPr>
            <w:r>
              <w:rPr>
                <w:sz w:val="16"/>
              </w:rPr>
              <w:t>TP</w:t>
            </w:r>
          </w:p>
        </w:tc>
        <w:tc>
          <w:tcPr>
            <w:tcW w:w="795" w:type="dxa"/>
            <w:shd w:val="clear" w:color="auto" w:fill="DCE6F1"/>
            <w:vAlign w:val="center"/>
          </w:tcPr>
          <w:p w14:paraId="4F04E6E4" w14:textId="77777777" w:rsidR="005674BA" w:rsidRDefault="00D312C8">
            <w:pPr>
              <w:spacing w:after="0"/>
            </w:pPr>
            <w:r>
              <w:rPr>
                <w:sz w:val="16"/>
              </w:rPr>
              <w:t>Prec.</w:t>
            </w:r>
          </w:p>
        </w:tc>
        <w:tc>
          <w:tcPr>
            <w:tcW w:w="936" w:type="dxa"/>
            <w:shd w:val="clear" w:color="auto" w:fill="DCE6F1"/>
            <w:vAlign w:val="center"/>
          </w:tcPr>
          <w:p w14:paraId="0A1AA1E2" w14:textId="77777777" w:rsidR="005674BA" w:rsidRDefault="00D312C8">
            <w:pPr>
              <w:spacing w:after="0"/>
            </w:pPr>
            <w:r>
              <w:rPr>
                <w:sz w:val="16"/>
              </w:rPr>
              <w:t>Recall</w:t>
            </w:r>
          </w:p>
        </w:tc>
        <w:tc>
          <w:tcPr>
            <w:tcW w:w="864" w:type="dxa"/>
            <w:shd w:val="clear" w:color="auto" w:fill="DCE6F1"/>
            <w:vAlign w:val="center"/>
          </w:tcPr>
          <w:p w14:paraId="3AC1018A" w14:textId="77777777" w:rsidR="005674BA" w:rsidRDefault="00D312C8">
            <w:pPr>
              <w:spacing w:after="0"/>
            </w:pPr>
            <w:r>
              <w:rPr>
                <w:sz w:val="16"/>
              </w:rPr>
              <w:t>Lift</w:t>
            </w:r>
          </w:p>
        </w:tc>
        <w:tc>
          <w:tcPr>
            <w:tcW w:w="792" w:type="dxa"/>
            <w:shd w:val="clear" w:color="auto" w:fill="DCE6F1"/>
            <w:vAlign w:val="center"/>
          </w:tcPr>
          <w:p w14:paraId="1964EBF1" w14:textId="77777777" w:rsidR="005674BA" w:rsidRDefault="00D312C8">
            <w:pPr>
              <w:spacing w:after="0"/>
            </w:pPr>
            <w:r>
              <w:rPr>
                <w:sz w:val="16"/>
              </w:rPr>
              <w:t>MCC</w:t>
            </w:r>
          </w:p>
        </w:tc>
      </w:tr>
      <w:tr w:rsidR="005674BA" w14:paraId="05A2427A" w14:textId="77777777" w:rsidTr="000377B9">
        <w:trPr>
          <w:jc w:val="center"/>
        </w:trPr>
        <w:tc>
          <w:tcPr>
            <w:tcW w:w="1440" w:type="dxa"/>
            <w:vAlign w:val="center"/>
          </w:tcPr>
          <w:p w14:paraId="0573A137" w14:textId="77777777" w:rsidR="005674BA" w:rsidRDefault="00D312C8">
            <w:pPr>
              <w:spacing w:after="0"/>
            </w:pPr>
            <w:r>
              <w:rPr>
                <w:sz w:val="16"/>
              </w:rPr>
              <w:t>Barcelona</w:t>
            </w:r>
          </w:p>
        </w:tc>
        <w:tc>
          <w:tcPr>
            <w:tcW w:w="2088" w:type="dxa"/>
            <w:vAlign w:val="center"/>
          </w:tcPr>
          <w:p w14:paraId="3FFC5F52" w14:textId="77777777" w:rsidR="005674BA" w:rsidRDefault="00D312C8">
            <w:pPr>
              <w:spacing w:after="0"/>
            </w:pPr>
            <w:r>
              <w:rPr>
                <w:sz w:val="16"/>
              </w:rPr>
              <w:t>Hybrid</w:t>
            </w:r>
          </w:p>
        </w:tc>
        <w:tc>
          <w:tcPr>
            <w:tcW w:w="1077" w:type="dxa"/>
            <w:vAlign w:val="center"/>
          </w:tcPr>
          <w:p w14:paraId="4FE1AA4D" w14:textId="77777777" w:rsidR="005674BA" w:rsidRDefault="00D312C8">
            <w:pPr>
              <w:spacing w:after="0"/>
            </w:pPr>
            <w:r>
              <w:rPr>
                <w:sz w:val="16"/>
              </w:rPr>
              <w:t>25</w:t>
            </w:r>
          </w:p>
        </w:tc>
        <w:tc>
          <w:tcPr>
            <w:tcW w:w="795" w:type="dxa"/>
            <w:vAlign w:val="center"/>
          </w:tcPr>
          <w:p w14:paraId="1F4F19D3" w14:textId="77777777" w:rsidR="005674BA" w:rsidRDefault="00D312C8">
            <w:pPr>
              <w:spacing w:after="0"/>
            </w:pPr>
            <w:r>
              <w:rPr>
                <w:sz w:val="16"/>
              </w:rPr>
              <w:t>0.253</w:t>
            </w:r>
          </w:p>
        </w:tc>
        <w:tc>
          <w:tcPr>
            <w:tcW w:w="936" w:type="dxa"/>
            <w:vAlign w:val="center"/>
          </w:tcPr>
          <w:p w14:paraId="389E82ED" w14:textId="77777777" w:rsidR="005674BA" w:rsidRDefault="00D312C8">
            <w:pPr>
              <w:spacing w:after="0"/>
            </w:pPr>
            <w:r>
              <w:rPr>
                <w:sz w:val="16"/>
              </w:rPr>
              <w:t>0.143</w:t>
            </w:r>
          </w:p>
        </w:tc>
        <w:tc>
          <w:tcPr>
            <w:tcW w:w="864" w:type="dxa"/>
            <w:vAlign w:val="center"/>
          </w:tcPr>
          <w:p w14:paraId="34119EAE" w14:textId="77777777" w:rsidR="005674BA" w:rsidRDefault="00D312C8">
            <w:pPr>
              <w:spacing w:after="0"/>
            </w:pPr>
            <w:r>
              <w:rPr>
                <w:sz w:val="16"/>
              </w:rPr>
              <w:t>1.89</w:t>
            </w:r>
          </w:p>
        </w:tc>
        <w:tc>
          <w:tcPr>
            <w:tcW w:w="792" w:type="dxa"/>
            <w:vAlign w:val="center"/>
          </w:tcPr>
          <w:p w14:paraId="23015839" w14:textId="77777777" w:rsidR="005674BA" w:rsidRDefault="00D312C8">
            <w:pPr>
              <w:spacing w:after="0"/>
            </w:pPr>
            <w:r>
              <w:rPr>
                <w:sz w:val="16"/>
              </w:rPr>
              <w:t>0.100</w:t>
            </w:r>
          </w:p>
        </w:tc>
      </w:tr>
      <w:tr w:rsidR="005674BA" w14:paraId="3753D650" w14:textId="77777777" w:rsidTr="000377B9">
        <w:trPr>
          <w:jc w:val="center"/>
        </w:trPr>
        <w:tc>
          <w:tcPr>
            <w:tcW w:w="1440" w:type="dxa"/>
            <w:vAlign w:val="center"/>
          </w:tcPr>
          <w:p w14:paraId="3CDCE58A" w14:textId="77777777" w:rsidR="005674BA" w:rsidRDefault="00D312C8">
            <w:pPr>
              <w:spacing w:after="0"/>
            </w:pPr>
            <w:r>
              <w:rPr>
                <w:sz w:val="16"/>
              </w:rPr>
              <w:t>Barcelona</w:t>
            </w:r>
          </w:p>
        </w:tc>
        <w:tc>
          <w:tcPr>
            <w:tcW w:w="2088" w:type="dxa"/>
            <w:vAlign w:val="center"/>
          </w:tcPr>
          <w:p w14:paraId="015EA0D9" w14:textId="77777777" w:rsidR="005674BA" w:rsidRDefault="00D312C8">
            <w:pPr>
              <w:spacing w:after="0"/>
            </w:pPr>
            <w:r>
              <w:rPr>
                <w:sz w:val="16"/>
              </w:rPr>
              <w:t>Miner only</w:t>
            </w:r>
          </w:p>
        </w:tc>
        <w:tc>
          <w:tcPr>
            <w:tcW w:w="1077" w:type="dxa"/>
            <w:vAlign w:val="center"/>
          </w:tcPr>
          <w:p w14:paraId="264D63C6" w14:textId="77777777" w:rsidR="005674BA" w:rsidRDefault="00D312C8">
            <w:pPr>
              <w:spacing w:after="0"/>
            </w:pPr>
            <w:r>
              <w:rPr>
                <w:sz w:val="16"/>
              </w:rPr>
              <w:t>16</w:t>
            </w:r>
          </w:p>
        </w:tc>
        <w:tc>
          <w:tcPr>
            <w:tcW w:w="795" w:type="dxa"/>
            <w:vAlign w:val="center"/>
          </w:tcPr>
          <w:p w14:paraId="01F96C97" w14:textId="77777777" w:rsidR="005674BA" w:rsidRDefault="00D312C8">
            <w:pPr>
              <w:spacing w:after="0"/>
            </w:pPr>
            <w:r>
              <w:rPr>
                <w:sz w:val="16"/>
              </w:rPr>
              <w:t>0.271</w:t>
            </w:r>
          </w:p>
        </w:tc>
        <w:tc>
          <w:tcPr>
            <w:tcW w:w="936" w:type="dxa"/>
            <w:vAlign w:val="center"/>
          </w:tcPr>
          <w:p w14:paraId="58C78AAC" w14:textId="77777777" w:rsidR="005674BA" w:rsidRDefault="00D312C8">
            <w:pPr>
              <w:spacing w:after="0"/>
            </w:pPr>
            <w:r>
              <w:rPr>
                <w:sz w:val="16"/>
              </w:rPr>
              <w:t>0.091</w:t>
            </w:r>
          </w:p>
        </w:tc>
        <w:tc>
          <w:tcPr>
            <w:tcW w:w="864" w:type="dxa"/>
            <w:vAlign w:val="center"/>
          </w:tcPr>
          <w:p w14:paraId="7A1FD850" w14:textId="77777777" w:rsidR="005674BA" w:rsidRDefault="00D312C8">
            <w:pPr>
              <w:spacing w:after="0"/>
            </w:pPr>
            <w:r>
              <w:rPr>
                <w:sz w:val="16"/>
              </w:rPr>
              <w:t>2.03</w:t>
            </w:r>
          </w:p>
        </w:tc>
        <w:tc>
          <w:tcPr>
            <w:tcW w:w="792" w:type="dxa"/>
            <w:vAlign w:val="center"/>
          </w:tcPr>
          <w:p w14:paraId="32BA7CD5" w14:textId="77777777" w:rsidR="005674BA" w:rsidRDefault="00D312C8">
            <w:pPr>
              <w:spacing w:after="0"/>
            </w:pPr>
            <w:r>
              <w:rPr>
                <w:sz w:val="16"/>
              </w:rPr>
              <w:t>0.088</w:t>
            </w:r>
          </w:p>
        </w:tc>
      </w:tr>
      <w:tr w:rsidR="005674BA" w14:paraId="6F6DA2E5" w14:textId="77777777" w:rsidTr="000377B9">
        <w:trPr>
          <w:jc w:val="center"/>
        </w:trPr>
        <w:tc>
          <w:tcPr>
            <w:tcW w:w="1440" w:type="dxa"/>
            <w:vAlign w:val="center"/>
          </w:tcPr>
          <w:p w14:paraId="26519A39" w14:textId="77777777" w:rsidR="005674BA" w:rsidRDefault="00D312C8">
            <w:pPr>
              <w:spacing w:after="0"/>
            </w:pPr>
            <w:r>
              <w:rPr>
                <w:sz w:val="16"/>
              </w:rPr>
              <w:t>Barcelona</w:t>
            </w:r>
          </w:p>
        </w:tc>
        <w:tc>
          <w:tcPr>
            <w:tcW w:w="2088" w:type="dxa"/>
            <w:vAlign w:val="center"/>
          </w:tcPr>
          <w:p w14:paraId="23964A69" w14:textId="77777777" w:rsidR="005674BA" w:rsidRDefault="00D312C8">
            <w:pPr>
              <w:spacing w:after="0"/>
            </w:pPr>
            <w:r>
              <w:rPr>
                <w:sz w:val="16"/>
              </w:rPr>
              <w:t>CART</w:t>
            </w:r>
          </w:p>
        </w:tc>
        <w:tc>
          <w:tcPr>
            <w:tcW w:w="1077" w:type="dxa"/>
            <w:vAlign w:val="center"/>
          </w:tcPr>
          <w:p w14:paraId="57B15F7B" w14:textId="77777777" w:rsidR="005674BA" w:rsidRDefault="00D312C8">
            <w:pPr>
              <w:spacing w:after="0"/>
            </w:pPr>
            <w:r>
              <w:rPr>
                <w:sz w:val="16"/>
              </w:rPr>
              <w:t>30</w:t>
            </w:r>
          </w:p>
        </w:tc>
        <w:tc>
          <w:tcPr>
            <w:tcW w:w="795" w:type="dxa"/>
            <w:vAlign w:val="center"/>
          </w:tcPr>
          <w:p w14:paraId="4AA8DA82" w14:textId="77777777" w:rsidR="005674BA" w:rsidRDefault="00D312C8">
            <w:pPr>
              <w:spacing w:after="0"/>
            </w:pPr>
            <w:r>
              <w:rPr>
                <w:sz w:val="16"/>
              </w:rPr>
              <w:t>0.192</w:t>
            </w:r>
          </w:p>
        </w:tc>
        <w:tc>
          <w:tcPr>
            <w:tcW w:w="936" w:type="dxa"/>
            <w:vAlign w:val="center"/>
          </w:tcPr>
          <w:p w14:paraId="4AD38B7C" w14:textId="77777777" w:rsidR="005674BA" w:rsidRDefault="00D312C8">
            <w:pPr>
              <w:spacing w:after="0"/>
            </w:pPr>
            <w:r>
              <w:rPr>
                <w:sz w:val="16"/>
              </w:rPr>
              <w:t>0.171</w:t>
            </w:r>
          </w:p>
        </w:tc>
        <w:tc>
          <w:tcPr>
            <w:tcW w:w="864" w:type="dxa"/>
            <w:vAlign w:val="center"/>
          </w:tcPr>
          <w:p w14:paraId="309B0138" w14:textId="77777777" w:rsidR="005674BA" w:rsidRDefault="00D312C8">
            <w:pPr>
              <w:spacing w:after="0"/>
            </w:pPr>
            <w:r>
              <w:rPr>
                <w:sz w:val="16"/>
              </w:rPr>
              <w:t>1.44</w:t>
            </w:r>
          </w:p>
        </w:tc>
        <w:tc>
          <w:tcPr>
            <w:tcW w:w="792" w:type="dxa"/>
            <w:vAlign w:val="center"/>
          </w:tcPr>
          <w:p w14:paraId="458A8DC5" w14:textId="77777777" w:rsidR="005674BA" w:rsidRDefault="00D312C8">
            <w:pPr>
              <w:spacing w:after="0"/>
            </w:pPr>
            <w:r>
              <w:rPr>
                <w:sz w:val="16"/>
              </w:rPr>
              <w:t>0.063</w:t>
            </w:r>
          </w:p>
        </w:tc>
      </w:tr>
      <w:tr w:rsidR="005674BA" w14:paraId="5AFADA09" w14:textId="77777777" w:rsidTr="000377B9">
        <w:trPr>
          <w:jc w:val="center"/>
        </w:trPr>
        <w:tc>
          <w:tcPr>
            <w:tcW w:w="1440" w:type="dxa"/>
            <w:vAlign w:val="center"/>
          </w:tcPr>
          <w:p w14:paraId="5C0F0D59" w14:textId="77777777" w:rsidR="005674BA" w:rsidRDefault="00D312C8">
            <w:pPr>
              <w:spacing w:after="0"/>
            </w:pPr>
            <w:r>
              <w:rPr>
                <w:sz w:val="16"/>
              </w:rPr>
              <w:t>Barcelona</w:t>
            </w:r>
          </w:p>
        </w:tc>
        <w:tc>
          <w:tcPr>
            <w:tcW w:w="2088" w:type="dxa"/>
            <w:vAlign w:val="center"/>
          </w:tcPr>
          <w:p w14:paraId="487FE75F" w14:textId="77777777" w:rsidR="005674BA" w:rsidRDefault="00D312C8">
            <w:pPr>
              <w:spacing w:after="0"/>
            </w:pPr>
            <w:r>
              <w:rPr>
                <w:sz w:val="16"/>
              </w:rPr>
              <w:t>Popper, no patterns</w:t>
            </w:r>
          </w:p>
        </w:tc>
        <w:tc>
          <w:tcPr>
            <w:tcW w:w="1077" w:type="dxa"/>
            <w:vAlign w:val="center"/>
          </w:tcPr>
          <w:p w14:paraId="6DDC11C2" w14:textId="77777777" w:rsidR="005674BA" w:rsidRDefault="000377B9">
            <w:pPr>
              <w:spacing w:after="0"/>
            </w:pPr>
            <w:r>
              <w:rPr>
                <w:sz w:val="12"/>
                <w:szCs w:val="18"/>
              </w:rPr>
              <w:t>NO</w:t>
            </w:r>
            <w:r>
              <w:rPr>
                <w:rFonts w:hint="cs"/>
                <w:sz w:val="12"/>
                <w:szCs w:val="18"/>
                <w:rtl/>
              </w:rPr>
              <w:t xml:space="preserve"> </w:t>
            </w:r>
            <w:r>
              <w:rPr>
                <w:sz w:val="12"/>
                <w:szCs w:val="18"/>
              </w:rPr>
              <w:t>SOLUTION</w:t>
            </w:r>
          </w:p>
        </w:tc>
        <w:tc>
          <w:tcPr>
            <w:tcW w:w="795" w:type="dxa"/>
            <w:vAlign w:val="center"/>
          </w:tcPr>
          <w:p w14:paraId="2EA22F0C" w14:textId="77777777" w:rsidR="005674BA" w:rsidRDefault="00D312C8">
            <w:pPr>
              <w:spacing w:after="0"/>
            </w:pPr>
            <w:r>
              <w:rPr>
                <w:sz w:val="16"/>
              </w:rPr>
              <w:t>—</w:t>
            </w:r>
          </w:p>
        </w:tc>
        <w:tc>
          <w:tcPr>
            <w:tcW w:w="936" w:type="dxa"/>
            <w:vAlign w:val="center"/>
          </w:tcPr>
          <w:p w14:paraId="1EF3A4AC" w14:textId="77777777" w:rsidR="005674BA" w:rsidRDefault="00D312C8">
            <w:pPr>
              <w:spacing w:after="0"/>
            </w:pPr>
            <w:r>
              <w:rPr>
                <w:sz w:val="16"/>
              </w:rPr>
              <w:t>—</w:t>
            </w:r>
          </w:p>
        </w:tc>
        <w:tc>
          <w:tcPr>
            <w:tcW w:w="864" w:type="dxa"/>
            <w:vAlign w:val="center"/>
          </w:tcPr>
          <w:p w14:paraId="04010EA3" w14:textId="77777777" w:rsidR="005674BA" w:rsidRDefault="00D312C8">
            <w:pPr>
              <w:spacing w:after="0"/>
            </w:pPr>
            <w:r>
              <w:rPr>
                <w:sz w:val="16"/>
              </w:rPr>
              <w:t>—</w:t>
            </w:r>
          </w:p>
        </w:tc>
        <w:tc>
          <w:tcPr>
            <w:tcW w:w="792" w:type="dxa"/>
            <w:vAlign w:val="center"/>
          </w:tcPr>
          <w:p w14:paraId="379B46E0" w14:textId="77777777" w:rsidR="005674BA" w:rsidRDefault="00D312C8">
            <w:pPr>
              <w:spacing w:after="0"/>
            </w:pPr>
            <w:r>
              <w:rPr>
                <w:sz w:val="16"/>
              </w:rPr>
              <w:t>—</w:t>
            </w:r>
          </w:p>
        </w:tc>
      </w:tr>
      <w:tr w:rsidR="005674BA" w14:paraId="0630A7CB" w14:textId="77777777" w:rsidTr="000377B9">
        <w:trPr>
          <w:jc w:val="center"/>
        </w:trPr>
        <w:tc>
          <w:tcPr>
            <w:tcW w:w="1440" w:type="dxa"/>
            <w:vAlign w:val="center"/>
          </w:tcPr>
          <w:p w14:paraId="648B833A" w14:textId="77777777" w:rsidR="005674BA" w:rsidRDefault="00D312C8">
            <w:pPr>
              <w:spacing w:after="0"/>
            </w:pPr>
            <w:r>
              <w:rPr>
                <w:sz w:val="16"/>
              </w:rPr>
              <w:t>Leverkusen</w:t>
            </w:r>
          </w:p>
        </w:tc>
        <w:tc>
          <w:tcPr>
            <w:tcW w:w="2088" w:type="dxa"/>
            <w:vAlign w:val="center"/>
          </w:tcPr>
          <w:p w14:paraId="573640DB" w14:textId="77777777" w:rsidR="005674BA" w:rsidRDefault="00D312C8">
            <w:pPr>
              <w:spacing w:after="0"/>
            </w:pPr>
            <w:r>
              <w:rPr>
                <w:sz w:val="16"/>
              </w:rPr>
              <w:t>Hybrid</w:t>
            </w:r>
          </w:p>
        </w:tc>
        <w:tc>
          <w:tcPr>
            <w:tcW w:w="1077" w:type="dxa"/>
            <w:vAlign w:val="center"/>
          </w:tcPr>
          <w:p w14:paraId="5762E3E7" w14:textId="77777777" w:rsidR="005674BA" w:rsidRDefault="00D312C8">
            <w:pPr>
              <w:spacing w:after="0"/>
            </w:pPr>
            <w:r>
              <w:rPr>
                <w:sz w:val="16"/>
              </w:rPr>
              <w:t>17</w:t>
            </w:r>
          </w:p>
        </w:tc>
        <w:tc>
          <w:tcPr>
            <w:tcW w:w="795" w:type="dxa"/>
            <w:vAlign w:val="center"/>
          </w:tcPr>
          <w:p w14:paraId="07CE06AA" w14:textId="77777777" w:rsidR="005674BA" w:rsidRDefault="00D312C8">
            <w:pPr>
              <w:spacing w:after="0"/>
            </w:pPr>
            <w:r>
              <w:rPr>
                <w:sz w:val="16"/>
              </w:rPr>
              <w:t>0.205</w:t>
            </w:r>
          </w:p>
        </w:tc>
        <w:tc>
          <w:tcPr>
            <w:tcW w:w="936" w:type="dxa"/>
            <w:vAlign w:val="center"/>
          </w:tcPr>
          <w:p w14:paraId="05E250E6" w14:textId="77777777" w:rsidR="005674BA" w:rsidRDefault="00D312C8">
            <w:pPr>
              <w:spacing w:after="0"/>
            </w:pPr>
            <w:r>
              <w:rPr>
                <w:sz w:val="16"/>
              </w:rPr>
              <w:t>0.096</w:t>
            </w:r>
          </w:p>
        </w:tc>
        <w:tc>
          <w:tcPr>
            <w:tcW w:w="864" w:type="dxa"/>
            <w:vAlign w:val="center"/>
          </w:tcPr>
          <w:p w14:paraId="56463051" w14:textId="77777777" w:rsidR="005674BA" w:rsidRDefault="00D312C8">
            <w:pPr>
              <w:spacing w:after="0"/>
            </w:pPr>
            <w:r>
              <w:rPr>
                <w:sz w:val="16"/>
              </w:rPr>
              <w:t>1.26</w:t>
            </w:r>
          </w:p>
        </w:tc>
        <w:tc>
          <w:tcPr>
            <w:tcW w:w="792" w:type="dxa"/>
            <w:vAlign w:val="center"/>
          </w:tcPr>
          <w:p w14:paraId="5DB86612" w14:textId="77777777" w:rsidR="005674BA" w:rsidRDefault="00D312C8">
            <w:pPr>
              <w:spacing w:after="0"/>
            </w:pPr>
            <w:r>
              <w:rPr>
                <w:sz w:val="16"/>
              </w:rPr>
              <w:t>0.033</w:t>
            </w:r>
          </w:p>
        </w:tc>
      </w:tr>
      <w:tr w:rsidR="005674BA" w14:paraId="36D4AB00" w14:textId="77777777" w:rsidTr="000377B9">
        <w:trPr>
          <w:jc w:val="center"/>
        </w:trPr>
        <w:tc>
          <w:tcPr>
            <w:tcW w:w="1440" w:type="dxa"/>
            <w:vAlign w:val="center"/>
          </w:tcPr>
          <w:p w14:paraId="13A1D5C4" w14:textId="77777777" w:rsidR="005674BA" w:rsidRDefault="00D312C8">
            <w:pPr>
              <w:spacing w:after="0"/>
            </w:pPr>
            <w:r>
              <w:rPr>
                <w:sz w:val="16"/>
              </w:rPr>
              <w:t>Leverkusen</w:t>
            </w:r>
          </w:p>
        </w:tc>
        <w:tc>
          <w:tcPr>
            <w:tcW w:w="2088" w:type="dxa"/>
            <w:vAlign w:val="center"/>
          </w:tcPr>
          <w:p w14:paraId="42926A76" w14:textId="77777777" w:rsidR="005674BA" w:rsidRDefault="00D312C8">
            <w:pPr>
              <w:spacing w:after="0"/>
            </w:pPr>
            <w:r>
              <w:rPr>
                <w:sz w:val="16"/>
              </w:rPr>
              <w:t>Miner only</w:t>
            </w:r>
          </w:p>
        </w:tc>
        <w:tc>
          <w:tcPr>
            <w:tcW w:w="1077" w:type="dxa"/>
            <w:vAlign w:val="center"/>
          </w:tcPr>
          <w:p w14:paraId="060B1BCB" w14:textId="77777777" w:rsidR="005674BA" w:rsidRDefault="00D312C8">
            <w:pPr>
              <w:spacing w:after="0"/>
            </w:pPr>
            <w:r>
              <w:rPr>
                <w:sz w:val="16"/>
              </w:rPr>
              <w:t>10</w:t>
            </w:r>
          </w:p>
        </w:tc>
        <w:tc>
          <w:tcPr>
            <w:tcW w:w="795" w:type="dxa"/>
            <w:vAlign w:val="center"/>
          </w:tcPr>
          <w:p w14:paraId="7335F5F0" w14:textId="77777777" w:rsidR="005674BA" w:rsidRDefault="00D312C8">
            <w:pPr>
              <w:spacing w:after="0"/>
            </w:pPr>
            <w:r>
              <w:rPr>
                <w:sz w:val="16"/>
              </w:rPr>
              <w:t>0.222</w:t>
            </w:r>
          </w:p>
        </w:tc>
        <w:tc>
          <w:tcPr>
            <w:tcW w:w="936" w:type="dxa"/>
            <w:vAlign w:val="center"/>
          </w:tcPr>
          <w:p w14:paraId="7828E50E" w14:textId="77777777" w:rsidR="005674BA" w:rsidRDefault="00D312C8">
            <w:pPr>
              <w:spacing w:after="0"/>
            </w:pPr>
            <w:r>
              <w:rPr>
                <w:sz w:val="16"/>
              </w:rPr>
              <w:t>0.056</w:t>
            </w:r>
          </w:p>
        </w:tc>
        <w:tc>
          <w:tcPr>
            <w:tcW w:w="864" w:type="dxa"/>
            <w:vAlign w:val="center"/>
          </w:tcPr>
          <w:p w14:paraId="53E84771" w14:textId="77777777" w:rsidR="005674BA" w:rsidRDefault="00D312C8">
            <w:pPr>
              <w:spacing w:after="0"/>
            </w:pPr>
            <w:r>
              <w:rPr>
                <w:sz w:val="16"/>
              </w:rPr>
              <w:t>1.36</w:t>
            </w:r>
          </w:p>
        </w:tc>
        <w:tc>
          <w:tcPr>
            <w:tcW w:w="792" w:type="dxa"/>
            <w:vAlign w:val="center"/>
          </w:tcPr>
          <w:p w14:paraId="11098F8C" w14:textId="77777777" w:rsidR="005674BA" w:rsidRDefault="00D312C8">
            <w:pPr>
              <w:spacing w:after="0"/>
            </w:pPr>
            <w:r>
              <w:rPr>
                <w:sz w:val="16"/>
              </w:rPr>
              <w:t>0.033</w:t>
            </w:r>
          </w:p>
        </w:tc>
      </w:tr>
      <w:tr w:rsidR="005674BA" w14:paraId="203B6ECD" w14:textId="77777777" w:rsidTr="000377B9">
        <w:trPr>
          <w:jc w:val="center"/>
        </w:trPr>
        <w:tc>
          <w:tcPr>
            <w:tcW w:w="1440" w:type="dxa"/>
            <w:vAlign w:val="center"/>
          </w:tcPr>
          <w:p w14:paraId="17B1013C" w14:textId="77777777" w:rsidR="005674BA" w:rsidRDefault="00D312C8">
            <w:pPr>
              <w:spacing w:after="0"/>
            </w:pPr>
            <w:r>
              <w:rPr>
                <w:sz w:val="16"/>
              </w:rPr>
              <w:t>Leverkusen</w:t>
            </w:r>
          </w:p>
        </w:tc>
        <w:tc>
          <w:tcPr>
            <w:tcW w:w="2088" w:type="dxa"/>
            <w:vAlign w:val="center"/>
          </w:tcPr>
          <w:p w14:paraId="7C89134A" w14:textId="77777777" w:rsidR="005674BA" w:rsidRDefault="00D312C8">
            <w:pPr>
              <w:spacing w:after="0"/>
            </w:pPr>
            <w:r>
              <w:rPr>
                <w:sz w:val="16"/>
              </w:rPr>
              <w:t>CART</w:t>
            </w:r>
          </w:p>
        </w:tc>
        <w:tc>
          <w:tcPr>
            <w:tcW w:w="1077" w:type="dxa"/>
            <w:vAlign w:val="center"/>
          </w:tcPr>
          <w:p w14:paraId="31B5FC70" w14:textId="77777777" w:rsidR="005674BA" w:rsidRDefault="00D312C8">
            <w:pPr>
              <w:spacing w:after="0"/>
            </w:pPr>
            <w:r>
              <w:rPr>
                <w:sz w:val="16"/>
              </w:rPr>
              <w:t>14</w:t>
            </w:r>
          </w:p>
        </w:tc>
        <w:tc>
          <w:tcPr>
            <w:tcW w:w="795" w:type="dxa"/>
            <w:vAlign w:val="center"/>
          </w:tcPr>
          <w:p w14:paraId="2DA22696" w14:textId="77777777" w:rsidR="005674BA" w:rsidRDefault="00D312C8">
            <w:pPr>
              <w:spacing w:after="0"/>
            </w:pPr>
            <w:r>
              <w:rPr>
                <w:sz w:val="16"/>
              </w:rPr>
              <w:t>0.255</w:t>
            </w:r>
          </w:p>
        </w:tc>
        <w:tc>
          <w:tcPr>
            <w:tcW w:w="936" w:type="dxa"/>
            <w:vAlign w:val="center"/>
          </w:tcPr>
          <w:p w14:paraId="40AF106C" w14:textId="77777777" w:rsidR="005674BA" w:rsidRDefault="00D312C8">
            <w:pPr>
              <w:spacing w:after="0"/>
            </w:pPr>
            <w:r>
              <w:rPr>
                <w:sz w:val="16"/>
              </w:rPr>
              <w:t>0.079</w:t>
            </w:r>
          </w:p>
        </w:tc>
        <w:tc>
          <w:tcPr>
            <w:tcW w:w="864" w:type="dxa"/>
            <w:vAlign w:val="center"/>
          </w:tcPr>
          <w:p w14:paraId="1715E776" w14:textId="77777777" w:rsidR="005674BA" w:rsidRDefault="00D312C8">
            <w:pPr>
              <w:spacing w:after="0"/>
            </w:pPr>
            <w:r>
              <w:rPr>
                <w:sz w:val="16"/>
              </w:rPr>
              <w:t>1.56</w:t>
            </w:r>
          </w:p>
        </w:tc>
        <w:tc>
          <w:tcPr>
            <w:tcW w:w="792" w:type="dxa"/>
            <w:vAlign w:val="center"/>
          </w:tcPr>
          <w:p w14:paraId="3E5D66BE" w14:textId="77777777" w:rsidR="005674BA" w:rsidRDefault="00D312C8">
            <w:pPr>
              <w:spacing w:after="0"/>
            </w:pPr>
            <w:r>
              <w:rPr>
                <w:sz w:val="16"/>
              </w:rPr>
              <w:t>0.057</w:t>
            </w:r>
          </w:p>
        </w:tc>
      </w:tr>
      <w:tr w:rsidR="005674BA" w14:paraId="73BD6E15" w14:textId="77777777" w:rsidTr="000377B9">
        <w:trPr>
          <w:jc w:val="center"/>
        </w:trPr>
        <w:tc>
          <w:tcPr>
            <w:tcW w:w="1440" w:type="dxa"/>
            <w:vAlign w:val="center"/>
          </w:tcPr>
          <w:p w14:paraId="231677E8" w14:textId="77777777" w:rsidR="005674BA" w:rsidRDefault="00D312C8">
            <w:pPr>
              <w:spacing w:after="0"/>
            </w:pPr>
            <w:r>
              <w:rPr>
                <w:sz w:val="16"/>
              </w:rPr>
              <w:t>Leverkusen</w:t>
            </w:r>
          </w:p>
        </w:tc>
        <w:tc>
          <w:tcPr>
            <w:tcW w:w="2088" w:type="dxa"/>
            <w:vAlign w:val="center"/>
          </w:tcPr>
          <w:p w14:paraId="3002B30F" w14:textId="77777777" w:rsidR="005674BA" w:rsidRDefault="00D312C8">
            <w:pPr>
              <w:spacing w:after="0"/>
            </w:pPr>
            <w:r>
              <w:rPr>
                <w:sz w:val="16"/>
              </w:rPr>
              <w:t>Popper, no patterns</w:t>
            </w:r>
          </w:p>
        </w:tc>
        <w:tc>
          <w:tcPr>
            <w:tcW w:w="1077" w:type="dxa"/>
            <w:vAlign w:val="center"/>
          </w:tcPr>
          <w:p w14:paraId="729C0DA1" w14:textId="77777777" w:rsidR="005674BA" w:rsidRDefault="00D312C8">
            <w:pPr>
              <w:spacing w:after="0"/>
            </w:pPr>
            <w:r>
              <w:rPr>
                <w:sz w:val="16"/>
              </w:rPr>
              <w:t>27†</w:t>
            </w:r>
          </w:p>
        </w:tc>
        <w:tc>
          <w:tcPr>
            <w:tcW w:w="795" w:type="dxa"/>
            <w:vAlign w:val="center"/>
          </w:tcPr>
          <w:p w14:paraId="67C3C8C1" w14:textId="77777777" w:rsidR="005674BA" w:rsidRDefault="00D312C8">
            <w:pPr>
              <w:spacing w:after="0"/>
            </w:pPr>
            <w:r>
              <w:rPr>
                <w:sz w:val="16"/>
              </w:rPr>
              <w:t>0.281†</w:t>
            </w:r>
          </w:p>
        </w:tc>
        <w:tc>
          <w:tcPr>
            <w:tcW w:w="936" w:type="dxa"/>
            <w:vAlign w:val="center"/>
          </w:tcPr>
          <w:p w14:paraId="5CF98A46" w14:textId="77777777" w:rsidR="005674BA" w:rsidRDefault="00D312C8">
            <w:pPr>
              <w:spacing w:after="0"/>
            </w:pPr>
            <w:r>
              <w:rPr>
                <w:sz w:val="16"/>
              </w:rPr>
              <w:t>0.153†</w:t>
            </w:r>
          </w:p>
        </w:tc>
        <w:tc>
          <w:tcPr>
            <w:tcW w:w="864" w:type="dxa"/>
            <w:vAlign w:val="center"/>
          </w:tcPr>
          <w:p w14:paraId="6C3A8A6D" w14:textId="77777777" w:rsidR="005674BA" w:rsidRDefault="00D312C8">
            <w:pPr>
              <w:spacing w:after="0"/>
            </w:pPr>
            <w:r>
              <w:rPr>
                <w:sz w:val="16"/>
              </w:rPr>
              <w:t>1.73†</w:t>
            </w:r>
          </w:p>
        </w:tc>
        <w:tc>
          <w:tcPr>
            <w:tcW w:w="792" w:type="dxa"/>
            <w:vAlign w:val="center"/>
          </w:tcPr>
          <w:p w14:paraId="1CDD6020" w14:textId="77777777" w:rsidR="005674BA" w:rsidRDefault="00D312C8">
            <w:pPr>
              <w:spacing w:after="0"/>
            </w:pPr>
            <w:r>
              <w:rPr>
                <w:sz w:val="16"/>
              </w:rPr>
              <w:t>0.100†</w:t>
            </w:r>
          </w:p>
        </w:tc>
      </w:tr>
    </w:tbl>
    <w:p w14:paraId="45352041" w14:textId="77777777" w:rsidR="005674BA" w:rsidRDefault="00D312C8">
      <w:pPr>
        <w:spacing w:before="80" w:after="80"/>
        <w:ind w:firstLine="288"/>
        <w:jc w:val="both"/>
      </w:pPr>
      <w:r>
        <w:t>† The same pattern-free Popper program (</w:t>
      </w:r>
      <w:proofErr w:type="spellStart"/>
      <w:r>
        <w:t>seq_flank_backward_carry</w:t>
      </w:r>
      <w:proofErr w:type="spellEnd"/>
      <w:r>
        <w:t>) was found in all three folds; metrics are for that rule over all sequences (27 negative outcomes among 96 matching sequences).</w:t>
      </w:r>
    </w:p>
    <w:p w14:paraId="22232493" w14:textId="77777777" w:rsidR="005674BA" w:rsidRDefault="005674BA">
      <w:pPr>
        <w:spacing w:after="0" w:line="20" w:lineRule="exact"/>
        <w:ind w:firstLine="288"/>
        <w:sectPr w:rsidR="005674BA">
          <w:type w:val="continuous"/>
          <w:pgSz w:w="11905" w:h="16838"/>
          <w:pgMar w:top="1080" w:right="891" w:bottom="1440" w:left="891" w:header="720" w:footer="720" w:gutter="0"/>
          <w:cols w:space="720"/>
          <w:docGrid w:linePitch="360"/>
        </w:sectPr>
      </w:pPr>
    </w:p>
    <w:p w14:paraId="393ECF67" w14:textId="77777777" w:rsidR="005674BA" w:rsidRDefault="00D312C8">
      <w:pPr>
        <w:spacing w:after="80"/>
        <w:ind w:firstLine="288"/>
        <w:jc w:val="both"/>
      </w:pPr>
      <w:r>
        <w:t>Pattern-free ablation. In Barcelona, Popper without patterns ended with NO SOLUTION without timing out, whereas Popper with mined patterns found a program; this is direct evidence that patterns reduced the search burden in this run. In Leverkusen, the pattern-free arm found the same single-clause program in all folds, the hybrid retained the same atom, and all three CART trees had a root from the same family. This predicate covers both flanks without distinguishing left from right. Three methods thus selected a generic atom, consistent with a general weakness in backward flank carries (separate left/right counts were not reported).</w:t>
      </w:r>
    </w:p>
    <w:p w14:paraId="39A77E81" w14:textId="77777777" w:rsidR="005674BA" w:rsidRDefault="00D312C8">
      <w:pPr>
        <w:spacing w:after="80"/>
        <w:ind w:firstLine="288"/>
        <w:jc w:val="both"/>
      </w:pPr>
      <w:r>
        <w:t xml:space="preserve">Rule notation. Each step is </w:t>
      </w:r>
      <w:proofErr w:type="gramStart"/>
      <w:r>
        <w:t>predicate(</w:t>
      </w:r>
      <w:proofErr w:type="gramEnd"/>
      <w:r>
        <w:t xml:space="preserve">action, channel L/C/R, third D/M); arrows indicate order with a maximum gap of two actions, while “+” denotes unordered sequence-level features. B6 is an intermediate CV candidate. Rules with lifts around 3–5 have coverage of 33 or less and wide confidence intervals. More frequent rules (L2, B4, </w:t>
      </w:r>
      <w:proofErr w:type="gramStart"/>
      <w:r>
        <w:t>B6</w:t>
      </w:r>
      <w:proofErr w:type="gramEnd"/>
      <w:r>
        <w:t>) are estimated more precisely but have lower lift. The apparent association between rarity and high rate is partly a selection effect.</w:t>
      </w:r>
    </w:p>
    <w:p w14:paraId="69ACFDC4" w14:textId="77777777" w:rsidR="005674BA" w:rsidRDefault="00D312C8">
      <w:pPr>
        <w:keepNext/>
        <w:jc w:val="center"/>
      </w:pPr>
      <w:r>
        <w:rPr>
          <w:sz w:val="16"/>
        </w:rPr>
        <w:t>TABLE IV. REPRESENTATIVE RULES, IN-SAMPLE SEASONAL RATES, AND COACH DECISIONS</w:t>
      </w:r>
    </w:p>
    <w:tbl>
      <w:tblPr>
        <w:tblStyle w:val="TableGrid"/>
        <w:tblW w:w="0" w:type="auto"/>
        <w:jc w:val="center"/>
        <w:tblLayout w:type="fixed"/>
        <w:tblLook w:val="04A0" w:firstRow="1" w:lastRow="0" w:firstColumn="1" w:lastColumn="0" w:noHBand="0" w:noVBand="1"/>
      </w:tblPr>
      <w:tblGrid>
        <w:gridCol w:w="490"/>
        <w:gridCol w:w="2016"/>
        <w:gridCol w:w="1354"/>
        <w:gridCol w:w="965"/>
      </w:tblGrid>
      <w:tr w:rsidR="00C8450C" w14:paraId="74DC4F52" w14:textId="77777777">
        <w:trPr>
          <w:cantSplit/>
          <w:jc w:val="center"/>
        </w:trPr>
        <w:tc>
          <w:tcPr>
            <w:tcW w:w="490" w:type="dxa"/>
            <w:shd w:val="clear" w:color="auto" w:fill="D9E2F3"/>
            <w:tcMar>
              <w:top w:w="40" w:type="dxa"/>
              <w:left w:w="55" w:type="dxa"/>
              <w:bottom w:w="40" w:type="dxa"/>
              <w:right w:w="55" w:type="dxa"/>
            </w:tcMar>
            <w:vAlign w:val="center"/>
          </w:tcPr>
          <w:p w14:paraId="2C903F6A" w14:textId="77777777" w:rsidR="00C8450C" w:rsidRDefault="000377B9">
            <w:pPr>
              <w:spacing w:after="0"/>
              <w:jc w:val="center"/>
            </w:pPr>
            <w:r>
              <w:rPr>
                <w:b/>
                <w:sz w:val="14"/>
              </w:rPr>
              <w:t>Rule</w:t>
            </w:r>
          </w:p>
        </w:tc>
        <w:tc>
          <w:tcPr>
            <w:tcW w:w="2016" w:type="dxa"/>
            <w:shd w:val="clear" w:color="auto" w:fill="D9E2F3"/>
            <w:tcMar>
              <w:top w:w="40" w:type="dxa"/>
              <w:left w:w="55" w:type="dxa"/>
              <w:bottom w:w="40" w:type="dxa"/>
              <w:right w:w="55" w:type="dxa"/>
            </w:tcMar>
            <w:vAlign w:val="center"/>
          </w:tcPr>
          <w:p w14:paraId="34DD9EF9" w14:textId="77777777" w:rsidR="00C8450C" w:rsidRDefault="000377B9">
            <w:pPr>
              <w:spacing w:after="0"/>
              <w:jc w:val="center"/>
            </w:pPr>
            <w:r>
              <w:rPr>
                <w:b/>
                <w:sz w:val="14"/>
              </w:rPr>
              <w:t>Ordered pattern</w:t>
            </w:r>
          </w:p>
        </w:tc>
        <w:tc>
          <w:tcPr>
            <w:tcW w:w="1354" w:type="dxa"/>
            <w:shd w:val="clear" w:color="auto" w:fill="D9E2F3"/>
            <w:tcMar>
              <w:top w:w="40" w:type="dxa"/>
              <w:left w:w="55" w:type="dxa"/>
              <w:bottom w:w="40" w:type="dxa"/>
              <w:right w:w="55" w:type="dxa"/>
            </w:tcMar>
            <w:vAlign w:val="center"/>
          </w:tcPr>
          <w:p w14:paraId="35288BA7" w14:textId="77777777" w:rsidR="00C8450C" w:rsidRDefault="000377B9">
            <w:pPr>
              <w:spacing w:after="0"/>
              <w:jc w:val="center"/>
            </w:pPr>
            <w:r>
              <w:rPr>
                <w:b/>
                <w:sz w:val="14"/>
              </w:rPr>
              <w:t>Support; rate (95% CI)</w:t>
            </w:r>
          </w:p>
        </w:tc>
        <w:tc>
          <w:tcPr>
            <w:tcW w:w="965" w:type="dxa"/>
            <w:shd w:val="clear" w:color="auto" w:fill="D9E2F3"/>
            <w:tcMar>
              <w:top w:w="40" w:type="dxa"/>
              <w:left w:w="55" w:type="dxa"/>
              <w:bottom w:w="40" w:type="dxa"/>
              <w:right w:w="55" w:type="dxa"/>
            </w:tcMar>
            <w:vAlign w:val="center"/>
          </w:tcPr>
          <w:p w14:paraId="6F824D4C" w14:textId="77777777" w:rsidR="00C8450C" w:rsidRDefault="000377B9">
            <w:pPr>
              <w:spacing w:after="0"/>
              <w:jc w:val="center"/>
            </w:pPr>
            <w:r>
              <w:rPr>
                <w:b/>
                <w:sz w:val="14"/>
              </w:rPr>
              <w:t>Lift; decision</w:t>
            </w:r>
          </w:p>
        </w:tc>
      </w:tr>
      <w:tr w:rsidR="00C8450C" w14:paraId="68ECBDFA" w14:textId="77777777">
        <w:trPr>
          <w:cantSplit/>
          <w:jc w:val="center"/>
        </w:trPr>
        <w:tc>
          <w:tcPr>
            <w:tcW w:w="490" w:type="dxa"/>
            <w:tcMar>
              <w:top w:w="40" w:type="dxa"/>
              <w:left w:w="55" w:type="dxa"/>
              <w:bottom w:w="40" w:type="dxa"/>
              <w:right w:w="55" w:type="dxa"/>
            </w:tcMar>
            <w:vAlign w:val="center"/>
          </w:tcPr>
          <w:p w14:paraId="42DC0097" w14:textId="77777777" w:rsidR="00C8450C" w:rsidRDefault="000377B9">
            <w:pPr>
              <w:spacing w:after="0"/>
              <w:jc w:val="center"/>
            </w:pPr>
            <w:r>
              <w:rPr>
                <w:sz w:val="14"/>
              </w:rPr>
              <w:t>L1</w:t>
            </w:r>
          </w:p>
        </w:tc>
        <w:tc>
          <w:tcPr>
            <w:tcW w:w="2016" w:type="dxa"/>
            <w:tcMar>
              <w:top w:w="40" w:type="dxa"/>
              <w:left w:w="55" w:type="dxa"/>
              <w:bottom w:w="40" w:type="dxa"/>
              <w:right w:w="55" w:type="dxa"/>
            </w:tcMar>
            <w:vAlign w:val="center"/>
          </w:tcPr>
          <w:p w14:paraId="0D0F67D1" w14:textId="77777777" w:rsidR="00C8450C" w:rsidRDefault="000377B9">
            <w:pPr>
              <w:spacing w:after="0"/>
            </w:pPr>
            <w:proofErr w:type="spellStart"/>
            <w:r>
              <w:rPr>
                <w:sz w:val="14"/>
              </w:rPr>
              <w:t>under_pressure</w:t>
            </w:r>
            <w:proofErr w:type="spellEnd"/>
            <w:r>
              <w:rPr>
                <w:sz w:val="14"/>
              </w:rPr>
              <w:t>(</w:t>
            </w:r>
            <w:proofErr w:type="spellStart"/>
            <w:r>
              <w:rPr>
                <w:sz w:val="14"/>
              </w:rPr>
              <w:t>carry,R,D</w:t>
            </w:r>
            <w:proofErr w:type="spellEnd"/>
            <w:r>
              <w:rPr>
                <w:sz w:val="14"/>
              </w:rPr>
              <w:t xml:space="preserve">) → </w:t>
            </w:r>
            <w:proofErr w:type="spellStart"/>
            <w:r>
              <w:rPr>
                <w:sz w:val="14"/>
              </w:rPr>
              <w:t>dead_end_support</w:t>
            </w:r>
            <w:proofErr w:type="spellEnd"/>
            <w:r>
              <w:rPr>
                <w:sz w:val="14"/>
              </w:rPr>
              <w:t>(</w:t>
            </w:r>
            <w:proofErr w:type="spellStart"/>
            <w:r>
              <w:rPr>
                <w:sz w:val="14"/>
              </w:rPr>
              <w:t>carry,R,D</w:t>
            </w:r>
            <w:proofErr w:type="spellEnd"/>
            <w:r>
              <w:rPr>
                <w:sz w:val="14"/>
              </w:rPr>
              <w:t>)</w:t>
            </w:r>
          </w:p>
        </w:tc>
        <w:tc>
          <w:tcPr>
            <w:tcW w:w="1354" w:type="dxa"/>
            <w:tcMar>
              <w:top w:w="40" w:type="dxa"/>
              <w:left w:w="55" w:type="dxa"/>
              <w:bottom w:w="40" w:type="dxa"/>
              <w:right w:w="55" w:type="dxa"/>
            </w:tcMar>
            <w:vAlign w:val="center"/>
          </w:tcPr>
          <w:p w14:paraId="230E70EE" w14:textId="77777777" w:rsidR="00C8450C" w:rsidRDefault="000377B9">
            <w:pPr>
              <w:spacing w:after="0"/>
              <w:jc w:val="center"/>
            </w:pPr>
            <w:r>
              <w:rPr>
                <w:sz w:val="14"/>
              </w:rPr>
              <w:t>9/11; 81.8% (52–95)</w:t>
            </w:r>
          </w:p>
        </w:tc>
        <w:tc>
          <w:tcPr>
            <w:tcW w:w="965" w:type="dxa"/>
            <w:tcMar>
              <w:top w:w="40" w:type="dxa"/>
              <w:left w:w="55" w:type="dxa"/>
              <w:bottom w:w="40" w:type="dxa"/>
              <w:right w:w="55" w:type="dxa"/>
            </w:tcMar>
            <w:vAlign w:val="center"/>
          </w:tcPr>
          <w:p w14:paraId="7C0F102E" w14:textId="77777777" w:rsidR="00C8450C" w:rsidRDefault="000377B9">
            <w:pPr>
              <w:spacing w:after="0"/>
              <w:jc w:val="center"/>
            </w:pPr>
            <w:r>
              <w:rPr>
                <w:sz w:val="14"/>
              </w:rPr>
              <w:t>5.02; Conditional</w:t>
            </w:r>
          </w:p>
        </w:tc>
      </w:tr>
      <w:tr w:rsidR="00C8450C" w14:paraId="6EBCE950" w14:textId="77777777">
        <w:trPr>
          <w:cantSplit/>
          <w:jc w:val="center"/>
        </w:trPr>
        <w:tc>
          <w:tcPr>
            <w:tcW w:w="490" w:type="dxa"/>
            <w:tcMar>
              <w:top w:w="40" w:type="dxa"/>
              <w:left w:w="55" w:type="dxa"/>
              <w:bottom w:w="40" w:type="dxa"/>
              <w:right w:w="55" w:type="dxa"/>
            </w:tcMar>
            <w:vAlign w:val="center"/>
          </w:tcPr>
          <w:p w14:paraId="5D411708" w14:textId="77777777" w:rsidR="00C8450C" w:rsidRDefault="000377B9">
            <w:pPr>
              <w:spacing w:after="0"/>
              <w:jc w:val="center"/>
            </w:pPr>
            <w:r>
              <w:rPr>
                <w:sz w:val="14"/>
              </w:rPr>
              <w:t>L2</w:t>
            </w:r>
          </w:p>
        </w:tc>
        <w:tc>
          <w:tcPr>
            <w:tcW w:w="2016" w:type="dxa"/>
            <w:tcMar>
              <w:top w:w="40" w:type="dxa"/>
              <w:left w:w="55" w:type="dxa"/>
              <w:bottom w:w="40" w:type="dxa"/>
              <w:right w:w="55" w:type="dxa"/>
            </w:tcMar>
            <w:vAlign w:val="center"/>
          </w:tcPr>
          <w:p w14:paraId="251D675F" w14:textId="77777777" w:rsidR="00C8450C" w:rsidRDefault="000377B9">
            <w:pPr>
              <w:spacing w:after="0"/>
            </w:pPr>
            <w:proofErr w:type="spellStart"/>
            <w:r>
              <w:rPr>
                <w:sz w:val="14"/>
              </w:rPr>
              <w:t>flank_backward_carry</w:t>
            </w:r>
            <w:proofErr w:type="spellEnd"/>
            <w:r>
              <w:rPr>
                <w:sz w:val="14"/>
              </w:rPr>
              <w:t xml:space="preserve"> (single atom)</w:t>
            </w:r>
          </w:p>
        </w:tc>
        <w:tc>
          <w:tcPr>
            <w:tcW w:w="1354" w:type="dxa"/>
            <w:tcMar>
              <w:top w:w="40" w:type="dxa"/>
              <w:left w:w="55" w:type="dxa"/>
              <w:bottom w:w="40" w:type="dxa"/>
              <w:right w:w="55" w:type="dxa"/>
            </w:tcMar>
            <w:vAlign w:val="center"/>
          </w:tcPr>
          <w:p w14:paraId="74137CB4" w14:textId="77777777" w:rsidR="00C8450C" w:rsidRDefault="000377B9">
            <w:pPr>
              <w:spacing w:after="0"/>
              <w:jc w:val="center"/>
            </w:pPr>
            <w:r>
              <w:rPr>
                <w:sz w:val="14"/>
              </w:rPr>
              <w:t>27/96; 28.1% (20–38)</w:t>
            </w:r>
          </w:p>
        </w:tc>
        <w:tc>
          <w:tcPr>
            <w:tcW w:w="965" w:type="dxa"/>
            <w:tcMar>
              <w:top w:w="40" w:type="dxa"/>
              <w:left w:w="55" w:type="dxa"/>
              <w:bottom w:w="40" w:type="dxa"/>
              <w:right w:w="55" w:type="dxa"/>
            </w:tcMar>
            <w:vAlign w:val="center"/>
          </w:tcPr>
          <w:p w14:paraId="2AA3F363" w14:textId="77777777" w:rsidR="00C8450C" w:rsidRDefault="000377B9">
            <w:pPr>
              <w:spacing w:after="0"/>
              <w:jc w:val="center"/>
            </w:pPr>
            <w:r>
              <w:rPr>
                <w:sz w:val="14"/>
              </w:rPr>
              <w:t>1.73; Approved</w:t>
            </w:r>
          </w:p>
        </w:tc>
      </w:tr>
      <w:tr w:rsidR="00C8450C" w14:paraId="54414EF6" w14:textId="77777777">
        <w:trPr>
          <w:cantSplit/>
          <w:jc w:val="center"/>
        </w:trPr>
        <w:tc>
          <w:tcPr>
            <w:tcW w:w="490" w:type="dxa"/>
            <w:tcMar>
              <w:top w:w="40" w:type="dxa"/>
              <w:left w:w="55" w:type="dxa"/>
              <w:bottom w:w="40" w:type="dxa"/>
              <w:right w:w="55" w:type="dxa"/>
            </w:tcMar>
            <w:vAlign w:val="center"/>
          </w:tcPr>
          <w:p w14:paraId="604FA5C9" w14:textId="77777777" w:rsidR="00C8450C" w:rsidRDefault="000377B9">
            <w:pPr>
              <w:spacing w:after="0"/>
              <w:jc w:val="center"/>
            </w:pPr>
            <w:r>
              <w:rPr>
                <w:sz w:val="14"/>
              </w:rPr>
              <w:t>L3</w:t>
            </w:r>
          </w:p>
        </w:tc>
        <w:tc>
          <w:tcPr>
            <w:tcW w:w="2016" w:type="dxa"/>
            <w:tcMar>
              <w:top w:w="40" w:type="dxa"/>
              <w:left w:w="55" w:type="dxa"/>
              <w:bottom w:w="40" w:type="dxa"/>
              <w:right w:w="55" w:type="dxa"/>
            </w:tcMar>
            <w:vAlign w:val="center"/>
          </w:tcPr>
          <w:p w14:paraId="6A97F672" w14:textId="77777777" w:rsidR="00C8450C" w:rsidRDefault="000377B9">
            <w:pPr>
              <w:spacing w:after="0"/>
            </w:pPr>
            <w:proofErr w:type="spellStart"/>
            <w:r>
              <w:rPr>
                <w:sz w:val="14"/>
              </w:rPr>
              <w:t>line_pass</w:t>
            </w:r>
            <w:proofErr w:type="spellEnd"/>
            <w:r>
              <w:rPr>
                <w:sz w:val="14"/>
              </w:rPr>
              <w:t>(</w:t>
            </w:r>
            <w:proofErr w:type="spellStart"/>
            <w:r>
              <w:rPr>
                <w:sz w:val="14"/>
              </w:rPr>
              <w:t>pass,R,D</w:t>
            </w:r>
            <w:proofErr w:type="spellEnd"/>
            <w:r>
              <w:rPr>
                <w:sz w:val="14"/>
              </w:rPr>
              <w:t xml:space="preserve">) → </w:t>
            </w:r>
            <w:proofErr w:type="spellStart"/>
            <w:r>
              <w:rPr>
                <w:sz w:val="14"/>
              </w:rPr>
              <w:t>connecting_pass</w:t>
            </w:r>
            <w:proofErr w:type="spellEnd"/>
            <w:r>
              <w:rPr>
                <w:sz w:val="14"/>
              </w:rPr>
              <w:t>(</w:t>
            </w:r>
            <w:proofErr w:type="spellStart"/>
            <w:r>
              <w:rPr>
                <w:sz w:val="14"/>
              </w:rPr>
              <w:t>pass,R,D</w:t>
            </w:r>
            <w:proofErr w:type="spellEnd"/>
            <w:r>
              <w:rPr>
                <w:sz w:val="14"/>
              </w:rPr>
              <w:t xml:space="preserve">) → </w:t>
            </w:r>
            <w:proofErr w:type="spellStart"/>
            <w:r>
              <w:rPr>
                <w:sz w:val="14"/>
              </w:rPr>
              <w:t>rest_defence_exposed</w:t>
            </w:r>
            <w:proofErr w:type="spellEnd"/>
            <w:r>
              <w:rPr>
                <w:sz w:val="14"/>
              </w:rPr>
              <w:t>(</w:t>
            </w:r>
            <w:proofErr w:type="spellStart"/>
            <w:r>
              <w:rPr>
                <w:sz w:val="14"/>
              </w:rPr>
              <w:t>carry,R,D</w:t>
            </w:r>
            <w:proofErr w:type="spellEnd"/>
            <w:r>
              <w:rPr>
                <w:sz w:val="14"/>
              </w:rPr>
              <w:t>)</w:t>
            </w:r>
          </w:p>
        </w:tc>
        <w:tc>
          <w:tcPr>
            <w:tcW w:w="1354" w:type="dxa"/>
            <w:tcMar>
              <w:top w:w="40" w:type="dxa"/>
              <w:left w:w="55" w:type="dxa"/>
              <w:bottom w:w="40" w:type="dxa"/>
              <w:right w:w="55" w:type="dxa"/>
            </w:tcMar>
            <w:vAlign w:val="center"/>
          </w:tcPr>
          <w:p w14:paraId="62D658DD" w14:textId="77777777" w:rsidR="00C8450C" w:rsidRDefault="000377B9">
            <w:pPr>
              <w:spacing w:after="0"/>
              <w:jc w:val="center"/>
            </w:pPr>
            <w:r>
              <w:rPr>
                <w:sz w:val="14"/>
              </w:rPr>
              <w:t>7/9; 77.8% (45–94)</w:t>
            </w:r>
          </w:p>
        </w:tc>
        <w:tc>
          <w:tcPr>
            <w:tcW w:w="965" w:type="dxa"/>
            <w:tcMar>
              <w:top w:w="40" w:type="dxa"/>
              <w:left w:w="55" w:type="dxa"/>
              <w:bottom w:w="40" w:type="dxa"/>
              <w:right w:w="55" w:type="dxa"/>
            </w:tcMar>
            <w:vAlign w:val="center"/>
          </w:tcPr>
          <w:p w14:paraId="541C143D" w14:textId="77777777" w:rsidR="00C8450C" w:rsidRDefault="000377B9">
            <w:pPr>
              <w:spacing w:after="0"/>
              <w:jc w:val="center"/>
            </w:pPr>
            <w:r>
              <w:rPr>
                <w:sz w:val="14"/>
              </w:rPr>
              <w:t>4.77; Rejected</w:t>
            </w:r>
          </w:p>
        </w:tc>
      </w:tr>
      <w:tr w:rsidR="00C8450C" w14:paraId="135C25B1" w14:textId="77777777">
        <w:trPr>
          <w:cantSplit/>
          <w:jc w:val="center"/>
        </w:trPr>
        <w:tc>
          <w:tcPr>
            <w:tcW w:w="490" w:type="dxa"/>
            <w:tcMar>
              <w:top w:w="40" w:type="dxa"/>
              <w:left w:w="55" w:type="dxa"/>
              <w:bottom w:w="40" w:type="dxa"/>
              <w:right w:w="55" w:type="dxa"/>
            </w:tcMar>
            <w:vAlign w:val="center"/>
          </w:tcPr>
          <w:p w14:paraId="687F154C" w14:textId="77777777" w:rsidR="00C8450C" w:rsidRDefault="000377B9">
            <w:pPr>
              <w:spacing w:after="0"/>
              <w:jc w:val="center"/>
            </w:pPr>
            <w:r>
              <w:rPr>
                <w:sz w:val="14"/>
              </w:rPr>
              <w:t>B1</w:t>
            </w:r>
          </w:p>
        </w:tc>
        <w:tc>
          <w:tcPr>
            <w:tcW w:w="2016" w:type="dxa"/>
            <w:tcMar>
              <w:top w:w="40" w:type="dxa"/>
              <w:left w:w="55" w:type="dxa"/>
              <w:bottom w:w="40" w:type="dxa"/>
              <w:right w:w="55" w:type="dxa"/>
            </w:tcMar>
            <w:vAlign w:val="center"/>
          </w:tcPr>
          <w:p w14:paraId="6E60EDF5" w14:textId="77777777" w:rsidR="00C8450C" w:rsidRDefault="000377B9">
            <w:pPr>
              <w:spacing w:after="0"/>
            </w:pPr>
            <w:proofErr w:type="spellStart"/>
            <w:r>
              <w:rPr>
                <w:sz w:val="14"/>
              </w:rPr>
              <w:t>rest_defence_exposed</w:t>
            </w:r>
            <w:proofErr w:type="spellEnd"/>
            <w:r>
              <w:rPr>
                <w:sz w:val="14"/>
              </w:rPr>
              <w:t>(</w:t>
            </w:r>
            <w:proofErr w:type="spellStart"/>
            <w:r>
              <w:rPr>
                <w:sz w:val="14"/>
              </w:rPr>
              <w:t>pass,C,D</w:t>
            </w:r>
            <w:proofErr w:type="spellEnd"/>
            <w:r>
              <w:rPr>
                <w:sz w:val="14"/>
              </w:rPr>
              <w:t xml:space="preserve">) → </w:t>
            </w:r>
            <w:proofErr w:type="spellStart"/>
            <w:r>
              <w:rPr>
                <w:sz w:val="14"/>
              </w:rPr>
              <w:t>rest_defence_exposed</w:t>
            </w:r>
            <w:proofErr w:type="spellEnd"/>
            <w:r>
              <w:rPr>
                <w:sz w:val="14"/>
              </w:rPr>
              <w:t>(</w:t>
            </w:r>
            <w:proofErr w:type="spellStart"/>
            <w:r>
              <w:rPr>
                <w:sz w:val="14"/>
              </w:rPr>
              <w:t>pass,L,D</w:t>
            </w:r>
            <w:proofErr w:type="spellEnd"/>
            <w:r>
              <w:rPr>
                <w:sz w:val="14"/>
              </w:rPr>
              <w:t xml:space="preserve">) → </w:t>
            </w:r>
            <w:proofErr w:type="spellStart"/>
            <w:r>
              <w:rPr>
                <w:sz w:val="14"/>
              </w:rPr>
              <w:t>under_pressure</w:t>
            </w:r>
            <w:proofErr w:type="spellEnd"/>
            <w:r>
              <w:rPr>
                <w:sz w:val="14"/>
              </w:rPr>
              <w:t>(</w:t>
            </w:r>
            <w:proofErr w:type="spellStart"/>
            <w:r>
              <w:rPr>
                <w:sz w:val="14"/>
              </w:rPr>
              <w:t>carry,L,M</w:t>
            </w:r>
            <w:proofErr w:type="spellEnd"/>
            <w:r>
              <w:rPr>
                <w:sz w:val="14"/>
              </w:rPr>
              <w:t>)</w:t>
            </w:r>
          </w:p>
        </w:tc>
        <w:tc>
          <w:tcPr>
            <w:tcW w:w="1354" w:type="dxa"/>
            <w:tcMar>
              <w:top w:w="40" w:type="dxa"/>
              <w:left w:w="55" w:type="dxa"/>
              <w:bottom w:w="40" w:type="dxa"/>
              <w:right w:w="55" w:type="dxa"/>
            </w:tcMar>
            <w:vAlign w:val="center"/>
          </w:tcPr>
          <w:p w14:paraId="1795B8AE" w14:textId="77777777" w:rsidR="00C8450C" w:rsidRDefault="000377B9">
            <w:pPr>
              <w:spacing w:after="0"/>
              <w:jc w:val="center"/>
            </w:pPr>
            <w:r>
              <w:rPr>
                <w:sz w:val="14"/>
              </w:rPr>
              <w:t>10/19; 52.6% (32–73)</w:t>
            </w:r>
          </w:p>
        </w:tc>
        <w:tc>
          <w:tcPr>
            <w:tcW w:w="965" w:type="dxa"/>
            <w:tcMar>
              <w:top w:w="40" w:type="dxa"/>
              <w:left w:w="55" w:type="dxa"/>
              <w:bottom w:w="40" w:type="dxa"/>
              <w:right w:w="55" w:type="dxa"/>
            </w:tcMar>
            <w:vAlign w:val="center"/>
          </w:tcPr>
          <w:p w14:paraId="65DABB9B" w14:textId="77777777" w:rsidR="00C8450C" w:rsidRDefault="000377B9">
            <w:pPr>
              <w:spacing w:after="0"/>
              <w:jc w:val="center"/>
            </w:pPr>
            <w:r>
              <w:rPr>
                <w:sz w:val="14"/>
              </w:rPr>
              <w:t>3.93; Conditional</w:t>
            </w:r>
          </w:p>
        </w:tc>
      </w:tr>
      <w:tr w:rsidR="00C8450C" w14:paraId="05D5430F" w14:textId="77777777">
        <w:trPr>
          <w:cantSplit/>
          <w:jc w:val="center"/>
        </w:trPr>
        <w:tc>
          <w:tcPr>
            <w:tcW w:w="490" w:type="dxa"/>
            <w:tcMar>
              <w:top w:w="40" w:type="dxa"/>
              <w:left w:w="55" w:type="dxa"/>
              <w:bottom w:w="40" w:type="dxa"/>
              <w:right w:w="55" w:type="dxa"/>
            </w:tcMar>
            <w:vAlign w:val="center"/>
          </w:tcPr>
          <w:p w14:paraId="511EBEDB" w14:textId="77777777" w:rsidR="00C8450C" w:rsidRDefault="000377B9">
            <w:pPr>
              <w:spacing w:after="0"/>
              <w:jc w:val="center"/>
            </w:pPr>
            <w:r>
              <w:rPr>
                <w:sz w:val="14"/>
              </w:rPr>
              <w:t>B4</w:t>
            </w:r>
          </w:p>
        </w:tc>
        <w:tc>
          <w:tcPr>
            <w:tcW w:w="2016" w:type="dxa"/>
            <w:tcMar>
              <w:top w:w="40" w:type="dxa"/>
              <w:left w:w="55" w:type="dxa"/>
              <w:bottom w:w="40" w:type="dxa"/>
              <w:right w:w="55" w:type="dxa"/>
            </w:tcMar>
            <w:vAlign w:val="center"/>
          </w:tcPr>
          <w:p w14:paraId="238CC34F" w14:textId="77777777" w:rsidR="00C8450C" w:rsidRDefault="000377B9">
            <w:pPr>
              <w:spacing w:after="0"/>
            </w:pPr>
            <w:proofErr w:type="spellStart"/>
            <w:r>
              <w:rPr>
                <w:sz w:val="14"/>
              </w:rPr>
              <w:t>line_pass</w:t>
            </w:r>
            <w:proofErr w:type="spellEnd"/>
            <w:r>
              <w:rPr>
                <w:sz w:val="14"/>
              </w:rPr>
              <w:t>(</w:t>
            </w:r>
            <w:proofErr w:type="spellStart"/>
            <w:r>
              <w:rPr>
                <w:sz w:val="14"/>
              </w:rPr>
              <w:t>pass,R,D</w:t>
            </w:r>
            <w:proofErr w:type="spellEnd"/>
            <w:r>
              <w:rPr>
                <w:sz w:val="14"/>
              </w:rPr>
              <w:t xml:space="preserve">) → </w:t>
            </w:r>
            <w:proofErr w:type="spellStart"/>
            <w:r>
              <w:rPr>
                <w:sz w:val="14"/>
              </w:rPr>
              <w:t>first_time_play</w:t>
            </w:r>
            <w:proofErr w:type="spellEnd"/>
            <w:r>
              <w:rPr>
                <w:sz w:val="14"/>
              </w:rPr>
              <w:t>(</w:t>
            </w:r>
            <w:proofErr w:type="spellStart"/>
            <w:r>
              <w:rPr>
                <w:sz w:val="14"/>
              </w:rPr>
              <w:t>pass,R,D</w:t>
            </w:r>
            <w:proofErr w:type="spellEnd"/>
            <w:r>
              <w:rPr>
                <w:sz w:val="14"/>
              </w:rPr>
              <w:t>)</w:t>
            </w:r>
          </w:p>
        </w:tc>
        <w:tc>
          <w:tcPr>
            <w:tcW w:w="1354" w:type="dxa"/>
            <w:tcMar>
              <w:top w:w="40" w:type="dxa"/>
              <w:left w:w="55" w:type="dxa"/>
              <w:bottom w:w="40" w:type="dxa"/>
              <w:right w:w="55" w:type="dxa"/>
            </w:tcMar>
            <w:vAlign w:val="center"/>
          </w:tcPr>
          <w:p w14:paraId="6A2D68D1" w14:textId="77777777" w:rsidR="00C8450C" w:rsidRDefault="000377B9">
            <w:pPr>
              <w:spacing w:after="0"/>
              <w:jc w:val="center"/>
            </w:pPr>
            <w:r>
              <w:rPr>
                <w:sz w:val="14"/>
              </w:rPr>
              <w:t>14/33; 42.4% (27–59)</w:t>
            </w:r>
          </w:p>
        </w:tc>
        <w:tc>
          <w:tcPr>
            <w:tcW w:w="965" w:type="dxa"/>
            <w:tcMar>
              <w:top w:w="40" w:type="dxa"/>
              <w:left w:w="55" w:type="dxa"/>
              <w:bottom w:w="40" w:type="dxa"/>
              <w:right w:w="55" w:type="dxa"/>
            </w:tcMar>
            <w:vAlign w:val="center"/>
          </w:tcPr>
          <w:p w14:paraId="6B1AFFD3" w14:textId="77777777" w:rsidR="00C8450C" w:rsidRDefault="000377B9">
            <w:pPr>
              <w:spacing w:after="0"/>
              <w:jc w:val="center"/>
            </w:pPr>
            <w:r>
              <w:rPr>
                <w:sz w:val="14"/>
              </w:rPr>
              <w:t>3.17; Approved</w:t>
            </w:r>
          </w:p>
        </w:tc>
      </w:tr>
      <w:tr w:rsidR="00C8450C" w14:paraId="4B05C69F" w14:textId="77777777">
        <w:trPr>
          <w:cantSplit/>
          <w:jc w:val="center"/>
        </w:trPr>
        <w:tc>
          <w:tcPr>
            <w:tcW w:w="490" w:type="dxa"/>
            <w:tcMar>
              <w:top w:w="40" w:type="dxa"/>
              <w:left w:w="55" w:type="dxa"/>
              <w:bottom w:w="40" w:type="dxa"/>
              <w:right w:w="55" w:type="dxa"/>
            </w:tcMar>
            <w:vAlign w:val="center"/>
          </w:tcPr>
          <w:p w14:paraId="617A3E3C" w14:textId="77777777" w:rsidR="00C8450C" w:rsidRDefault="000377B9">
            <w:pPr>
              <w:spacing w:after="0"/>
              <w:jc w:val="center"/>
            </w:pPr>
            <w:r>
              <w:rPr>
                <w:sz w:val="14"/>
              </w:rPr>
              <w:t>B6</w:t>
            </w:r>
          </w:p>
        </w:tc>
        <w:tc>
          <w:tcPr>
            <w:tcW w:w="2016" w:type="dxa"/>
            <w:tcMar>
              <w:top w:w="40" w:type="dxa"/>
              <w:left w:w="55" w:type="dxa"/>
              <w:bottom w:w="40" w:type="dxa"/>
              <w:right w:w="55" w:type="dxa"/>
            </w:tcMar>
            <w:vAlign w:val="center"/>
          </w:tcPr>
          <w:p w14:paraId="29B26EF2" w14:textId="77777777" w:rsidR="00C8450C" w:rsidRDefault="000377B9">
            <w:pPr>
              <w:spacing w:after="0"/>
            </w:pPr>
            <w:proofErr w:type="spellStart"/>
            <w:r>
              <w:rPr>
                <w:sz w:val="14"/>
              </w:rPr>
              <w:t>line_pass</w:t>
            </w:r>
            <w:proofErr w:type="spellEnd"/>
            <w:r>
              <w:rPr>
                <w:sz w:val="14"/>
              </w:rPr>
              <w:t xml:space="preserve"> + </w:t>
            </w:r>
            <w:proofErr w:type="spellStart"/>
            <w:r>
              <w:rPr>
                <w:sz w:val="14"/>
              </w:rPr>
              <w:t>first_time_play</w:t>
            </w:r>
            <w:proofErr w:type="spellEnd"/>
            <w:r>
              <w:rPr>
                <w:sz w:val="14"/>
              </w:rPr>
              <w:t xml:space="preserve"> + </w:t>
            </w:r>
            <w:proofErr w:type="spellStart"/>
            <w:r>
              <w:rPr>
                <w:sz w:val="14"/>
              </w:rPr>
              <w:t>fast_sequence</w:t>
            </w:r>
            <w:proofErr w:type="spellEnd"/>
          </w:p>
        </w:tc>
        <w:tc>
          <w:tcPr>
            <w:tcW w:w="1354" w:type="dxa"/>
            <w:tcMar>
              <w:top w:w="40" w:type="dxa"/>
              <w:left w:w="55" w:type="dxa"/>
              <w:bottom w:w="40" w:type="dxa"/>
              <w:right w:w="55" w:type="dxa"/>
            </w:tcMar>
            <w:vAlign w:val="center"/>
          </w:tcPr>
          <w:p w14:paraId="3D570A03" w14:textId="77777777" w:rsidR="00C8450C" w:rsidRDefault="000377B9">
            <w:pPr>
              <w:spacing w:after="0"/>
              <w:jc w:val="center"/>
            </w:pPr>
            <w:r>
              <w:rPr>
                <w:sz w:val="14"/>
              </w:rPr>
              <w:t>24/93; 25.8% (18–36)</w:t>
            </w:r>
          </w:p>
        </w:tc>
        <w:tc>
          <w:tcPr>
            <w:tcW w:w="965" w:type="dxa"/>
            <w:tcMar>
              <w:top w:w="40" w:type="dxa"/>
              <w:left w:w="55" w:type="dxa"/>
              <w:bottom w:w="40" w:type="dxa"/>
              <w:right w:w="55" w:type="dxa"/>
            </w:tcMar>
            <w:vAlign w:val="center"/>
          </w:tcPr>
          <w:p w14:paraId="4F27F599" w14:textId="77777777" w:rsidR="00C8450C" w:rsidRDefault="000377B9">
            <w:pPr>
              <w:spacing w:after="0"/>
              <w:jc w:val="center"/>
            </w:pPr>
            <w:r>
              <w:rPr>
                <w:sz w:val="14"/>
              </w:rPr>
              <w:t>1.93; Approved</w:t>
            </w:r>
          </w:p>
        </w:tc>
      </w:tr>
    </w:tbl>
    <w:p w14:paraId="37A1AC03" w14:textId="77777777" w:rsidR="005674BA" w:rsidRPr="00DA1186" w:rsidRDefault="00D312C8">
      <w:pPr>
        <w:pStyle w:val="Heading2"/>
        <w:rPr>
          <w:sz w:val="18"/>
          <w:szCs w:val="24"/>
        </w:rPr>
      </w:pPr>
      <w:r w:rsidRPr="00DA1186">
        <w:rPr>
          <w:rFonts w:ascii="Times New Roman" w:hAnsi="Times New Roman"/>
          <w:sz w:val="18"/>
          <w:szCs w:val="24"/>
        </w:rPr>
        <w:t>5.3 Coach Review and Aggregate Risk Model</w:t>
      </w:r>
    </w:p>
    <w:p w14:paraId="5050B84B" w14:textId="77777777" w:rsidR="005674BA" w:rsidRDefault="00D312C8">
      <w:pPr>
        <w:spacing w:after="80"/>
        <w:ind w:firstLine="288"/>
        <w:jc w:val="both"/>
      </w:pPr>
      <w:r>
        <w:t>The coach approved five of eight Barcelona rules (three conditional) and two of four Leverkusen rules (one conditional), for 7 of 12 overall. Rejections mostly reflected limited evidence (few occurrences or zero to two holdout examples), not tactical incorrectness. The coach also retained observations from rejected rules: Leverkusen patterns were concentrated in the right channel, Barcelona patterns in the left. These are interpretations consistent with the patterns, not independent confirmation; rules can share steps and sequences (e.g., L3 and L4 share their first two steps). Further readings—high pressure, body orientation toward the line, or player identity—are expert interpretations.</w:t>
      </w:r>
    </w:p>
    <w:p w14:paraId="43BB00D8" w14:textId="77777777" w:rsidR="005674BA" w:rsidRDefault="00D312C8">
      <w:pPr>
        <w:spacing w:after="80"/>
        <w:ind w:firstLine="288"/>
        <w:jc w:val="both"/>
      </w:pPr>
      <w:r>
        <w:t>An aggregate risk model (L1 logistic regression over indicators for approved rules) discriminates weakly on holdout: AUC 0.566 (333 sequences) and 0.556 (273 sequences). Large odds ratios (e.g., 19.3 for Leverkusen L1, based on 11 occurrences) are unstable. This agrees with low recall; the holdout was not completely untouched.</w:t>
      </w:r>
    </w:p>
    <w:p w14:paraId="781C3203" w14:textId="77777777" w:rsidR="005674BA" w:rsidRDefault="00D312C8">
      <w:pPr>
        <w:pStyle w:val="Heading1"/>
        <w:jc w:val="center"/>
      </w:pPr>
      <w:r>
        <w:rPr>
          <w:rFonts w:ascii="Times New Roman" w:hAnsi="Times New Roman"/>
        </w:rPr>
        <w:t>6. Discussion and Limitations</w:t>
      </w:r>
    </w:p>
    <w:p w14:paraId="6CB78B3B" w14:textId="77777777" w:rsidR="005674BA" w:rsidRDefault="00D312C8">
      <w:pPr>
        <w:spacing w:after="80"/>
        <w:ind w:firstLine="288"/>
        <w:jc w:val="both"/>
      </w:pPr>
      <w:r>
        <w:t xml:space="preserve">What is </w:t>
      </w:r>
      <w:proofErr w:type="gramStart"/>
      <w:r>
        <w:t>shown.</w:t>
      </w:r>
      <w:proofErr w:type="gramEnd"/>
      <w:r>
        <w:t xml:space="preserve"> In a low-data regime, the pipeline produces short, auditable rules that reach 1.4–2.0 times the base rate out of fold at natural prevalence for </w:t>
      </w:r>
      <w:r>
        <w:lastRenderedPageBreak/>
        <w:t>Barcelona and are meaningful to a coach; the Leverkusen result is inconclusive. The intended use is hypothesis generation for video review (AUC around 0.56, recall below 18%).</w:t>
      </w:r>
    </w:p>
    <w:p w14:paraId="5865573C" w14:textId="77777777" w:rsidR="005674BA" w:rsidRDefault="00D312C8">
      <w:pPr>
        <w:spacing w:after="80"/>
        <w:ind w:firstLine="288"/>
        <w:jc w:val="both"/>
      </w:pPr>
      <w:r>
        <w:t>Component value. The miner contributes temporal order and reduces Popper’s search burden (the Barcelona no-pattern run found no solution); Popper uses MDL to choose a compact subset; Prolog BK keeps concepts declarative and editable. The hybrid is comparable to baselines in enrichment and has no stable superiority; in Leverkusen, patterns added little over a simple rule. CART also uses the same Prolog feature layer, so its comparison measures logical search rather than the value of Prolog itself. The event that breaks a sequence may not be the event named by its pattern.</w:t>
      </w:r>
    </w:p>
    <w:p w14:paraId="42D07BED" w14:textId="77777777" w:rsidR="005674BA" w:rsidRDefault="00D312C8">
      <w:pPr>
        <w:spacing w:after="80"/>
        <w:ind w:firstLine="288"/>
        <w:jc w:val="both"/>
      </w:pPr>
      <w:r>
        <w:t>Limitations. (1) Each study covers one team in one season, so we make no generalization claim. (2) Three folds without significance tests or match-clustered intervals provide descriptive evidence only. (3) Rules are selected from many candidates, rates are in-sample, and match-level permutation tests and simple baselines (sequence length, start location) were not run. (4) The outcome is operationally defined, and match-grouped CV does not remove dependence among sequences within a match. (5) 360 frames are incomplete and do not support off-ball concepts.</w:t>
      </w:r>
    </w:p>
    <w:p w14:paraId="532F18D9" w14:textId="77777777" w:rsidR="005674BA" w:rsidRDefault="00D312C8">
      <w:pPr>
        <w:pStyle w:val="Heading1"/>
        <w:jc w:val="center"/>
      </w:pPr>
      <w:r>
        <w:rPr>
          <w:rFonts w:ascii="Times New Roman" w:hAnsi="Times New Roman"/>
        </w:rPr>
        <w:t>7. Conclusion and Future Work</w:t>
      </w:r>
    </w:p>
    <w:p w14:paraId="50D9304C" w14:textId="77777777" w:rsidR="005674BA" w:rsidRDefault="00D312C8">
      <w:pPr>
        <w:spacing w:after="80"/>
        <w:ind w:firstLine="288"/>
        <w:jc w:val="both"/>
      </w:pPr>
      <w:r>
        <w:t>We showed that sequential pattern mining, Prolog background knowledge, and Popper can extract short, auditable rules for build-up failures in a very low-data regime, for coach review, with safeguards against leakage and optimism. Barcelona showed out-of-fold enrichment; Leverkusen was inconclusive. The hybrid was comparable to baselines and recall was low. The system is a hypothesis-generation tool.</w:t>
      </w:r>
    </w:p>
    <w:p w14:paraId="371EA9ED" w14:textId="77777777" w:rsidR="005674BA" w:rsidRDefault="00D312C8">
      <w:pPr>
        <w:spacing w:after="80"/>
        <w:ind w:firstLine="288"/>
        <w:jc w:val="both"/>
      </w:pPr>
      <w:r>
        <w:t>Future work. (1) Focused runs with coach-configured BK, such as goalkeeper predicates or a single region. (2) Reverse application to recent opponent matches to find fragile build-up patterns; the hypothesis that creating several conditions together increases opponent failure remains untested. (3) Full tracking and player identities may improve off-ball predicates, an expectation not yet tested; richer vocabularies also expand search and reduce support per rule.</w:t>
      </w:r>
    </w:p>
    <w:p w14:paraId="2E69CC87" w14:textId="77777777" w:rsidR="005674BA" w:rsidRDefault="00D312C8">
      <w:pPr>
        <w:pStyle w:val="Heading1"/>
        <w:jc w:val="center"/>
      </w:pPr>
      <w:r>
        <w:rPr>
          <w:rFonts w:ascii="Times New Roman" w:hAnsi="Times New Roman"/>
        </w:rPr>
        <w:t>References</w:t>
      </w:r>
    </w:p>
    <w:p w14:paraId="2BD8324F" w14:textId="77777777" w:rsidR="005674BA" w:rsidRDefault="00D312C8">
      <w:pPr>
        <w:spacing w:after="0"/>
        <w:ind w:left="173" w:hanging="173"/>
      </w:pPr>
      <w:r>
        <w:rPr>
          <w:sz w:val="16"/>
        </w:rPr>
        <w:t xml:space="preserve">[1] </w:t>
      </w:r>
      <w:proofErr w:type="spellStart"/>
      <w:r>
        <w:rPr>
          <w:sz w:val="16"/>
        </w:rPr>
        <w:t>Antunes</w:t>
      </w:r>
      <w:proofErr w:type="spellEnd"/>
      <w:r>
        <w:rPr>
          <w:sz w:val="16"/>
        </w:rPr>
        <w:t xml:space="preserve">, C., and Oliveira, A. L. (2003). Generalization of pattern-growth methods for sequential pattern mining with gap constraints. In Machine Learning and Data Mining in Pattern Recognition, LNCS 2734. Springer. </w:t>
      </w:r>
      <w:proofErr w:type="gramStart"/>
      <w:r>
        <w:rPr>
          <w:sz w:val="16"/>
        </w:rPr>
        <w:t>doi:</w:t>
      </w:r>
      <w:proofErr w:type="gramEnd"/>
      <w:r>
        <w:rPr>
          <w:sz w:val="16"/>
        </w:rPr>
        <w:t>10.1007/3-540-45065-3_21</w:t>
      </w:r>
    </w:p>
    <w:p w14:paraId="200EBD52" w14:textId="77777777" w:rsidR="005674BA" w:rsidRDefault="00D312C8">
      <w:pPr>
        <w:spacing w:after="0"/>
        <w:ind w:left="173" w:hanging="173"/>
      </w:pPr>
      <w:r>
        <w:rPr>
          <w:sz w:val="16"/>
        </w:rPr>
        <w:t xml:space="preserve">[2] Biermann, H., Wieland, F.-G., </w:t>
      </w:r>
      <w:proofErr w:type="spellStart"/>
      <w:r>
        <w:rPr>
          <w:sz w:val="16"/>
        </w:rPr>
        <w:t>Timmer</w:t>
      </w:r>
      <w:proofErr w:type="spellEnd"/>
      <w:r>
        <w:rPr>
          <w:sz w:val="16"/>
        </w:rPr>
        <w:t xml:space="preserve">, J., </w:t>
      </w:r>
      <w:proofErr w:type="spellStart"/>
      <w:r>
        <w:rPr>
          <w:sz w:val="16"/>
        </w:rPr>
        <w:t>Memmert</w:t>
      </w:r>
      <w:proofErr w:type="spellEnd"/>
      <w:r>
        <w:rPr>
          <w:sz w:val="16"/>
        </w:rPr>
        <w:t xml:space="preserve">, D., and </w:t>
      </w:r>
      <w:proofErr w:type="spellStart"/>
      <w:r>
        <w:rPr>
          <w:sz w:val="16"/>
        </w:rPr>
        <w:t>Phatak</w:t>
      </w:r>
      <w:proofErr w:type="spellEnd"/>
      <w:r>
        <w:rPr>
          <w:sz w:val="16"/>
        </w:rPr>
        <w:t>, A. (2023). Towards expected counter—</w:t>
      </w:r>
      <w:proofErr w:type="gramStart"/>
      <w:r>
        <w:rPr>
          <w:sz w:val="16"/>
        </w:rPr>
        <w:t>Using</w:t>
      </w:r>
      <w:proofErr w:type="gramEnd"/>
      <w:r>
        <w:rPr>
          <w:sz w:val="16"/>
        </w:rPr>
        <w:t xml:space="preserve"> comprehensible features to predict counterattacks. Communications in Computer and Information Science, 1783, 3–13. </w:t>
      </w:r>
      <w:proofErr w:type="gramStart"/>
      <w:r>
        <w:rPr>
          <w:sz w:val="16"/>
        </w:rPr>
        <w:t>doi:</w:t>
      </w:r>
      <w:proofErr w:type="gramEnd"/>
      <w:r>
        <w:rPr>
          <w:sz w:val="16"/>
        </w:rPr>
        <w:t>10.1007/978-3-031-27527-2_1</w:t>
      </w:r>
    </w:p>
    <w:p w14:paraId="7081A43D" w14:textId="77777777" w:rsidR="005674BA" w:rsidRDefault="00D312C8">
      <w:pPr>
        <w:spacing w:after="0"/>
        <w:ind w:left="173" w:hanging="173"/>
      </w:pPr>
      <w:r>
        <w:rPr>
          <w:sz w:val="16"/>
        </w:rPr>
        <w:t xml:space="preserve">[3] </w:t>
      </w:r>
      <w:proofErr w:type="spellStart"/>
      <w:r>
        <w:rPr>
          <w:sz w:val="16"/>
        </w:rPr>
        <w:t>Breiman</w:t>
      </w:r>
      <w:proofErr w:type="spellEnd"/>
      <w:r>
        <w:rPr>
          <w:sz w:val="16"/>
        </w:rPr>
        <w:t xml:space="preserve">, L., Friedman, J. H., </w:t>
      </w:r>
      <w:proofErr w:type="spellStart"/>
      <w:r>
        <w:rPr>
          <w:sz w:val="16"/>
        </w:rPr>
        <w:t>Olshen</w:t>
      </w:r>
      <w:proofErr w:type="spellEnd"/>
      <w:r>
        <w:rPr>
          <w:sz w:val="16"/>
        </w:rPr>
        <w:t>, R. A., and Stone, C. J. (1984). Classification and Regression Trees. Wadsworth.</w:t>
      </w:r>
    </w:p>
    <w:p w14:paraId="3886B3DE" w14:textId="77777777" w:rsidR="005674BA" w:rsidRDefault="00D312C8">
      <w:pPr>
        <w:spacing w:after="0"/>
        <w:ind w:left="173" w:hanging="173"/>
      </w:pPr>
      <w:r>
        <w:rPr>
          <w:sz w:val="16"/>
        </w:rPr>
        <w:t xml:space="preserve">[4] Cropper, A., and </w:t>
      </w:r>
      <w:proofErr w:type="spellStart"/>
      <w:r>
        <w:rPr>
          <w:sz w:val="16"/>
        </w:rPr>
        <w:t>Dumančić</w:t>
      </w:r>
      <w:proofErr w:type="spellEnd"/>
      <w:r>
        <w:rPr>
          <w:sz w:val="16"/>
        </w:rPr>
        <w:t>, S. (2022). Inductive Logic Programming at 30: A New Introduction. Journal of Artificial Intelligence Research, 74, 765–850. doi:10.1613/JAIR.1.13507</w:t>
      </w:r>
    </w:p>
    <w:p w14:paraId="22AF214B" w14:textId="77777777" w:rsidR="005674BA" w:rsidRDefault="007A7199">
      <w:pPr>
        <w:spacing w:after="0"/>
        <w:ind w:left="173" w:hanging="173"/>
      </w:pPr>
      <w:r>
        <w:rPr>
          <w:sz w:val="16"/>
        </w:rPr>
        <w:t xml:space="preserve"> </w:t>
      </w:r>
      <w:r w:rsidR="00D312C8">
        <w:rPr>
          <w:sz w:val="16"/>
        </w:rPr>
        <w:t xml:space="preserve">[5] Cropper, A., and Morel, R. (2021). Learning programs by learning from failures. Machine Learning, 110(4), 801–856. </w:t>
      </w:r>
      <w:proofErr w:type="gramStart"/>
      <w:r w:rsidR="00D312C8">
        <w:rPr>
          <w:sz w:val="16"/>
        </w:rPr>
        <w:t>doi:</w:t>
      </w:r>
      <w:proofErr w:type="gramEnd"/>
      <w:r w:rsidR="00D312C8">
        <w:rPr>
          <w:sz w:val="16"/>
        </w:rPr>
        <w:t>10.1007/s10994-020-05934-z</w:t>
      </w:r>
      <w:bookmarkStart w:id="0" w:name="_GoBack"/>
      <w:bookmarkEnd w:id="0"/>
    </w:p>
    <w:p w14:paraId="339D0553" w14:textId="77777777" w:rsidR="005674BA" w:rsidRDefault="00D312C8">
      <w:pPr>
        <w:spacing w:after="0"/>
        <w:ind w:left="173" w:hanging="173"/>
      </w:pPr>
      <w:r>
        <w:rPr>
          <w:sz w:val="16"/>
        </w:rPr>
        <w:t xml:space="preserve">[6] Dash, S., Ide, K., </w:t>
      </w:r>
      <w:proofErr w:type="spellStart"/>
      <w:r>
        <w:rPr>
          <w:sz w:val="16"/>
        </w:rPr>
        <w:t>Umemoto</w:t>
      </w:r>
      <w:proofErr w:type="spellEnd"/>
      <w:r>
        <w:rPr>
          <w:sz w:val="16"/>
        </w:rPr>
        <w:t xml:space="preserve">, R., Amino, K., and </w:t>
      </w:r>
      <w:proofErr w:type="spellStart"/>
      <w:r>
        <w:rPr>
          <w:sz w:val="16"/>
        </w:rPr>
        <w:t>Fujii</w:t>
      </w:r>
      <w:proofErr w:type="spellEnd"/>
      <w:r>
        <w:rPr>
          <w:sz w:val="16"/>
        </w:rPr>
        <w:t xml:space="preserve">, K. (2025). Prediction-based evaluation of back-four defense with spatial control in soccer. </w:t>
      </w:r>
      <w:proofErr w:type="gramStart"/>
      <w:r>
        <w:rPr>
          <w:sz w:val="16"/>
        </w:rPr>
        <w:t>arXiv:</w:t>
      </w:r>
      <w:proofErr w:type="gramEnd"/>
      <w:r>
        <w:rPr>
          <w:sz w:val="16"/>
        </w:rPr>
        <w:t>2511.06191 (preprint).</w:t>
      </w:r>
    </w:p>
    <w:p w14:paraId="29E21B25" w14:textId="77777777" w:rsidR="005674BA" w:rsidRDefault="00D312C8">
      <w:pPr>
        <w:spacing w:after="0"/>
        <w:ind w:left="173" w:hanging="173"/>
      </w:pPr>
      <w:r>
        <w:rPr>
          <w:sz w:val="16"/>
        </w:rPr>
        <w:t xml:space="preserve">[7] </w:t>
      </w:r>
      <w:proofErr w:type="spellStart"/>
      <w:r>
        <w:rPr>
          <w:sz w:val="16"/>
        </w:rPr>
        <w:t>Decroos</w:t>
      </w:r>
      <w:proofErr w:type="spellEnd"/>
      <w:r>
        <w:rPr>
          <w:sz w:val="16"/>
        </w:rPr>
        <w:t xml:space="preserve">, T., </w:t>
      </w:r>
      <w:proofErr w:type="spellStart"/>
      <w:r>
        <w:rPr>
          <w:sz w:val="16"/>
        </w:rPr>
        <w:t>Bransen</w:t>
      </w:r>
      <w:proofErr w:type="spellEnd"/>
      <w:r>
        <w:rPr>
          <w:sz w:val="16"/>
        </w:rPr>
        <w:t xml:space="preserve">, L., Van </w:t>
      </w:r>
      <w:proofErr w:type="spellStart"/>
      <w:r>
        <w:rPr>
          <w:sz w:val="16"/>
        </w:rPr>
        <w:t>Haaren</w:t>
      </w:r>
      <w:proofErr w:type="spellEnd"/>
      <w:r>
        <w:rPr>
          <w:sz w:val="16"/>
        </w:rPr>
        <w:t>, J., and Davis, J. (2019). Actions speak louder than goals: Valuing player actions in soccer. Proceedings of KDD, 1851–1861. doi:10.1145/3292500.3330758</w:t>
      </w:r>
    </w:p>
    <w:p w14:paraId="623813AF" w14:textId="77777777" w:rsidR="005674BA" w:rsidRDefault="00D312C8">
      <w:pPr>
        <w:spacing w:after="0"/>
        <w:ind w:left="173" w:hanging="173"/>
      </w:pPr>
      <w:r>
        <w:rPr>
          <w:sz w:val="16"/>
        </w:rPr>
        <w:t xml:space="preserve">[8] </w:t>
      </w:r>
      <w:proofErr w:type="spellStart"/>
      <w:r>
        <w:rPr>
          <w:sz w:val="16"/>
        </w:rPr>
        <w:t>Decroos</w:t>
      </w:r>
      <w:proofErr w:type="spellEnd"/>
      <w:r>
        <w:rPr>
          <w:sz w:val="16"/>
        </w:rPr>
        <w:t xml:space="preserve">, T., Van </w:t>
      </w:r>
      <w:proofErr w:type="spellStart"/>
      <w:r>
        <w:rPr>
          <w:sz w:val="16"/>
        </w:rPr>
        <w:t>Haaren</w:t>
      </w:r>
      <w:proofErr w:type="spellEnd"/>
      <w:r>
        <w:rPr>
          <w:sz w:val="16"/>
        </w:rPr>
        <w:t xml:space="preserve">, J., and Davis, J. (2018). Automatic discovery of tactics in </w:t>
      </w:r>
      <w:proofErr w:type="spellStart"/>
      <w:r>
        <w:rPr>
          <w:sz w:val="16"/>
        </w:rPr>
        <w:t>spatio</w:t>
      </w:r>
      <w:proofErr w:type="spellEnd"/>
      <w:r>
        <w:rPr>
          <w:sz w:val="16"/>
        </w:rPr>
        <w:t>-temporal soccer match data. Proceedings of KDD, 223–232. doi:10.1145/3219819.3219832</w:t>
      </w:r>
    </w:p>
    <w:p w14:paraId="1C581816" w14:textId="77777777" w:rsidR="005674BA" w:rsidRDefault="00D312C8">
      <w:pPr>
        <w:spacing w:after="0"/>
        <w:ind w:left="173" w:hanging="173"/>
      </w:pPr>
      <w:r>
        <w:rPr>
          <w:sz w:val="16"/>
        </w:rPr>
        <w:t>[9] Dong, G., and Li, J. (1999). Efficient mining of emerging patterns: Discovering trends and differences. Proceedings of KDD, 43–52.</w:t>
      </w:r>
    </w:p>
    <w:p w14:paraId="7AA0D2F7" w14:textId="77777777" w:rsidR="005674BA" w:rsidRDefault="00D312C8">
      <w:pPr>
        <w:spacing w:after="0"/>
        <w:ind w:left="173" w:hanging="173"/>
      </w:pPr>
      <w:r>
        <w:rPr>
          <w:sz w:val="16"/>
        </w:rPr>
        <w:t xml:space="preserve">[10] </w:t>
      </w:r>
      <w:proofErr w:type="spellStart"/>
      <w:r>
        <w:rPr>
          <w:sz w:val="16"/>
        </w:rPr>
        <w:t>Gebser</w:t>
      </w:r>
      <w:proofErr w:type="spellEnd"/>
      <w:r>
        <w:rPr>
          <w:sz w:val="16"/>
        </w:rPr>
        <w:t xml:space="preserve">, M., Kaminski, R., Kaufmann, B., and Schaub, T. (2019). Multi-shot ASP solving with </w:t>
      </w:r>
      <w:proofErr w:type="spellStart"/>
      <w:r>
        <w:rPr>
          <w:sz w:val="16"/>
        </w:rPr>
        <w:t>clingo</w:t>
      </w:r>
      <w:proofErr w:type="spellEnd"/>
      <w:r>
        <w:rPr>
          <w:sz w:val="16"/>
        </w:rPr>
        <w:t>. Theory and Practice of Logic Programming, 19(1), 27–82.</w:t>
      </w:r>
    </w:p>
    <w:p w14:paraId="06CA38CF" w14:textId="77777777" w:rsidR="005674BA" w:rsidRDefault="00D312C8">
      <w:pPr>
        <w:spacing w:after="0"/>
        <w:ind w:left="173" w:hanging="173"/>
      </w:pPr>
      <w:r>
        <w:rPr>
          <w:sz w:val="16"/>
        </w:rPr>
        <w:t xml:space="preserve">[11] </w:t>
      </w:r>
      <w:proofErr w:type="spellStart"/>
      <w:r>
        <w:rPr>
          <w:sz w:val="16"/>
        </w:rPr>
        <w:t>Hocquette</w:t>
      </w:r>
      <w:proofErr w:type="spellEnd"/>
      <w:r>
        <w:rPr>
          <w:sz w:val="16"/>
        </w:rPr>
        <w:t xml:space="preserve">, C., </w:t>
      </w:r>
      <w:proofErr w:type="spellStart"/>
      <w:r>
        <w:rPr>
          <w:sz w:val="16"/>
        </w:rPr>
        <w:t>Niskanen</w:t>
      </w:r>
      <w:proofErr w:type="spellEnd"/>
      <w:r>
        <w:rPr>
          <w:sz w:val="16"/>
        </w:rPr>
        <w:t xml:space="preserve">, A., </w:t>
      </w:r>
      <w:proofErr w:type="spellStart"/>
      <w:r>
        <w:rPr>
          <w:sz w:val="16"/>
        </w:rPr>
        <w:t>Järvisalo</w:t>
      </w:r>
      <w:proofErr w:type="spellEnd"/>
      <w:r>
        <w:rPr>
          <w:sz w:val="16"/>
        </w:rPr>
        <w:t>, M., and Cropper, A. (2024). Learning MDL logic programs from noisy data. Proceedings of AAAI, 38(9), 10553–10561. doi:10.1609/aaai.v38i9.28925</w:t>
      </w:r>
    </w:p>
    <w:p w14:paraId="16F2000B" w14:textId="77777777" w:rsidR="005674BA" w:rsidRDefault="00D312C8">
      <w:pPr>
        <w:spacing w:after="0"/>
        <w:ind w:left="173" w:hanging="173"/>
      </w:pPr>
      <w:r>
        <w:rPr>
          <w:sz w:val="16"/>
        </w:rPr>
        <w:t xml:space="preserve">[12] Jacobs, N., </w:t>
      </w:r>
      <w:proofErr w:type="spellStart"/>
      <w:r>
        <w:rPr>
          <w:sz w:val="16"/>
        </w:rPr>
        <w:t>Driessens</w:t>
      </w:r>
      <w:proofErr w:type="spellEnd"/>
      <w:r>
        <w:rPr>
          <w:sz w:val="16"/>
        </w:rPr>
        <w:t xml:space="preserve">, K., and De </w:t>
      </w:r>
      <w:proofErr w:type="spellStart"/>
      <w:r>
        <w:rPr>
          <w:sz w:val="16"/>
        </w:rPr>
        <w:t>Raedt</w:t>
      </w:r>
      <w:proofErr w:type="spellEnd"/>
      <w:r>
        <w:rPr>
          <w:sz w:val="16"/>
        </w:rPr>
        <w:t xml:space="preserve">, L. (1998). Using ILP-systems for verification and validation of multi-agent systems. In Inductive Logic Programming, LNCS 1446. Springer. </w:t>
      </w:r>
      <w:proofErr w:type="gramStart"/>
      <w:r>
        <w:rPr>
          <w:sz w:val="16"/>
        </w:rPr>
        <w:t>doi:</w:t>
      </w:r>
      <w:proofErr w:type="gramEnd"/>
      <w:r>
        <w:rPr>
          <w:sz w:val="16"/>
        </w:rPr>
        <w:t>10.1007/BFb0027318</w:t>
      </w:r>
    </w:p>
    <w:p w14:paraId="5CF86B3A" w14:textId="77777777" w:rsidR="005674BA" w:rsidRDefault="00D312C8">
      <w:pPr>
        <w:spacing w:after="0"/>
        <w:ind w:left="173" w:hanging="173"/>
      </w:pPr>
      <w:r>
        <w:rPr>
          <w:sz w:val="16"/>
        </w:rPr>
        <w:t>[13] Kapoor, S., and Narayanan, A. (2023). Leakage and the reproducibility crisis in machine-learning-based science. Patterns, 4(9), 100804. doi:10.1016/j.patter.2023.100804</w:t>
      </w:r>
    </w:p>
    <w:p w14:paraId="413689FB" w14:textId="77777777" w:rsidR="005674BA" w:rsidRDefault="00D312C8">
      <w:pPr>
        <w:spacing w:after="0"/>
        <w:ind w:left="173" w:hanging="173"/>
      </w:pPr>
      <w:r>
        <w:rPr>
          <w:sz w:val="16"/>
        </w:rPr>
        <w:t xml:space="preserve">[14] Kramer, S., </w:t>
      </w:r>
      <w:proofErr w:type="spellStart"/>
      <w:r>
        <w:rPr>
          <w:sz w:val="16"/>
        </w:rPr>
        <w:t>Lavrač</w:t>
      </w:r>
      <w:proofErr w:type="spellEnd"/>
      <w:r>
        <w:rPr>
          <w:sz w:val="16"/>
        </w:rPr>
        <w:t xml:space="preserve">, N., and </w:t>
      </w:r>
      <w:proofErr w:type="spellStart"/>
      <w:r>
        <w:rPr>
          <w:sz w:val="16"/>
        </w:rPr>
        <w:t>Flach</w:t>
      </w:r>
      <w:proofErr w:type="spellEnd"/>
      <w:r>
        <w:rPr>
          <w:sz w:val="16"/>
        </w:rPr>
        <w:t xml:space="preserve">, P. (2001). </w:t>
      </w:r>
      <w:proofErr w:type="spellStart"/>
      <w:r>
        <w:rPr>
          <w:sz w:val="16"/>
        </w:rPr>
        <w:t>Propositionalization</w:t>
      </w:r>
      <w:proofErr w:type="spellEnd"/>
      <w:r>
        <w:rPr>
          <w:sz w:val="16"/>
        </w:rPr>
        <w:t xml:space="preserve"> approaches to relational data mining. In Relational Data Mining, 262–291. Springer.</w:t>
      </w:r>
    </w:p>
    <w:p w14:paraId="645829F7" w14:textId="77777777" w:rsidR="005674BA" w:rsidRDefault="00D312C8">
      <w:pPr>
        <w:spacing w:after="0"/>
        <w:ind w:left="173" w:hanging="173"/>
      </w:pPr>
      <w:r>
        <w:rPr>
          <w:sz w:val="16"/>
        </w:rPr>
        <w:t>[15] Li, C., Yang, Q., Wang, J., and Li, M. (2012). Efficient mining of gap-constrained subsequences and its various applications. ACM Transactions on Knowledge Discovery from Data, 6(1). doi:10.1145/2133360.2133362</w:t>
      </w:r>
    </w:p>
    <w:p w14:paraId="254EC305" w14:textId="77777777" w:rsidR="005674BA" w:rsidRDefault="00D312C8">
      <w:pPr>
        <w:spacing w:after="0"/>
        <w:ind w:left="173" w:hanging="173"/>
      </w:pPr>
      <w:r>
        <w:rPr>
          <w:sz w:val="16"/>
        </w:rPr>
        <w:t xml:space="preserve">[16] </w:t>
      </w:r>
      <w:proofErr w:type="spellStart"/>
      <w:r>
        <w:rPr>
          <w:sz w:val="16"/>
        </w:rPr>
        <w:t>Muggleton</w:t>
      </w:r>
      <w:proofErr w:type="spellEnd"/>
      <w:r>
        <w:rPr>
          <w:sz w:val="16"/>
        </w:rPr>
        <w:t xml:space="preserve">, S., and De </w:t>
      </w:r>
      <w:proofErr w:type="spellStart"/>
      <w:r>
        <w:rPr>
          <w:sz w:val="16"/>
        </w:rPr>
        <w:t>Raedt</w:t>
      </w:r>
      <w:proofErr w:type="spellEnd"/>
      <w:r>
        <w:rPr>
          <w:sz w:val="16"/>
        </w:rPr>
        <w:t>, L. (1994). Inductive logic programming: Theory and methods. The Journal of Logic Programming, 19–20, 629–679.</w:t>
      </w:r>
    </w:p>
    <w:p w14:paraId="599C6BEF" w14:textId="77777777" w:rsidR="005674BA" w:rsidRDefault="00D312C8">
      <w:pPr>
        <w:spacing w:after="0"/>
        <w:ind w:left="173" w:hanging="173"/>
      </w:pPr>
      <w:r>
        <w:rPr>
          <w:sz w:val="16"/>
        </w:rPr>
        <w:t xml:space="preserve">[17] Pei, J., Han, J., </w:t>
      </w:r>
      <w:proofErr w:type="spellStart"/>
      <w:r>
        <w:rPr>
          <w:sz w:val="16"/>
        </w:rPr>
        <w:t>Mortazavi-Asl</w:t>
      </w:r>
      <w:proofErr w:type="spellEnd"/>
      <w:r>
        <w:rPr>
          <w:sz w:val="16"/>
        </w:rPr>
        <w:t xml:space="preserve">, B., Pinto, H., Chen, Q., </w:t>
      </w:r>
      <w:proofErr w:type="spellStart"/>
      <w:r>
        <w:rPr>
          <w:sz w:val="16"/>
        </w:rPr>
        <w:t>Dayal</w:t>
      </w:r>
      <w:proofErr w:type="spellEnd"/>
      <w:r>
        <w:rPr>
          <w:sz w:val="16"/>
        </w:rPr>
        <w:t xml:space="preserve">, U., and Hsu, M.-C. (2001). </w:t>
      </w:r>
      <w:proofErr w:type="spellStart"/>
      <w:r>
        <w:rPr>
          <w:sz w:val="16"/>
        </w:rPr>
        <w:t>PrefixSpan</w:t>
      </w:r>
      <w:proofErr w:type="spellEnd"/>
      <w:r>
        <w:rPr>
          <w:sz w:val="16"/>
        </w:rPr>
        <w:t>: Mining sequential patterns efficiently by prefix-projected pattern growth. Proceedings of ICDE, 215–224.</w:t>
      </w:r>
    </w:p>
    <w:p w14:paraId="60E596D9" w14:textId="77777777" w:rsidR="005674BA" w:rsidRDefault="00D312C8">
      <w:pPr>
        <w:spacing w:after="0"/>
        <w:ind w:left="173" w:hanging="173"/>
      </w:pPr>
      <w:r>
        <w:rPr>
          <w:sz w:val="16"/>
        </w:rPr>
        <w:t xml:space="preserve">[18] Roberts, D. R., </w:t>
      </w:r>
      <w:proofErr w:type="spellStart"/>
      <w:r>
        <w:rPr>
          <w:sz w:val="16"/>
        </w:rPr>
        <w:t>Bahn</w:t>
      </w:r>
      <w:proofErr w:type="spellEnd"/>
      <w:r>
        <w:rPr>
          <w:sz w:val="16"/>
        </w:rPr>
        <w:t xml:space="preserve">, V., </w:t>
      </w:r>
      <w:proofErr w:type="spellStart"/>
      <w:r>
        <w:rPr>
          <w:sz w:val="16"/>
        </w:rPr>
        <w:t>Ciuti</w:t>
      </w:r>
      <w:proofErr w:type="spellEnd"/>
      <w:r>
        <w:rPr>
          <w:sz w:val="16"/>
        </w:rPr>
        <w:t xml:space="preserve">, S., Boyce, M. S., </w:t>
      </w:r>
      <w:proofErr w:type="spellStart"/>
      <w:r>
        <w:rPr>
          <w:sz w:val="16"/>
        </w:rPr>
        <w:t>Elith</w:t>
      </w:r>
      <w:proofErr w:type="spellEnd"/>
      <w:r>
        <w:rPr>
          <w:sz w:val="16"/>
        </w:rPr>
        <w:t xml:space="preserve">, J., </w:t>
      </w:r>
      <w:proofErr w:type="spellStart"/>
      <w:r>
        <w:rPr>
          <w:sz w:val="16"/>
        </w:rPr>
        <w:t>Guillera-Arroita</w:t>
      </w:r>
      <w:proofErr w:type="spellEnd"/>
      <w:r>
        <w:rPr>
          <w:sz w:val="16"/>
        </w:rPr>
        <w:t xml:space="preserve">, G., et al. (2017). Cross-validation strategies for data with temporal, spatial, hierarchical, or phylogenetic structure. </w:t>
      </w:r>
      <w:proofErr w:type="spellStart"/>
      <w:r>
        <w:rPr>
          <w:sz w:val="16"/>
        </w:rPr>
        <w:t>Ecography</w:t>
      </w:r>
      <w:proofErr w:type="spellEnd"/>
      <w:r>
        <w:rPr>
          <w:sz w:val="16"/>
        </w:rPr>
        <w:t>, 40(8), 913–929. doi:10.1111/ecog.02881</w:t>
      </w:r>
    </w:p>
    <w:p w14:paraId="62D8F9AB" w14:textId="77777777" w:rsidR="005674BA" w:rsidRDefault="00D312C8">
      <w:pPr>
        <w:spacing w:after="0"/>
        <w:ind w:left="173" w:hanging="173"/>
      </w:pPr>
      <w:r>
        <w:rPr>
          <w:sz w:val="16"/>
        </w:rPr>
        <w:t xml:space="preserve">[19] </w:t>
      </w:r>
      <w:proofErr w:type="spellStart"/>
      <w:r>
        <w:rPr>
          <w:sz w:val="16"/>
        </w:rPr>
        <w:t>Rudin</w:t>
      </w:r>
      <w:proofErr w:type="spellEnd"/>
      <w:r>
        <w:rPr>
          <w:sz w:val="16"/>
        </w:rPr>
        <w:t xml:space="preserve">, C. (2019). Stop explaining black box machine learning models for high stakes decisions and use interpretable models instead. Nature Machine Intelligence, 1(5), 206–215. </w:t>
      </w:r>
      <w:proofErr w:type="gramStart"/>
      <w:r>
        <w:rPr>
          <w:sz w:val="16"/>
        </w:rPr>
        <w:t>doi:</w:t>
      </w:r>
      <w:proofErr w:type="gramEnd"/>
      <w:r>
        <w:rPr>
          <w:sz w:val="16"/>
        </w:rPr>
        <w:t>10.1038/s42256-019-0048-x</w:t>
      </w:r>
    </w:p>
    <w:p w14:paraId="38EEF21C" w14:textId="77777777" w:rsidR="005674BA" w:rsidRDefault="00D312C8">
      <w:pPr>
        <w:spacing w:after="0"/>
        <w:ind w:left="173" w:hanging="173"/>
      </w:pPr>
      <w:r>
        <w:rPr>
          <w:sz w:val="16"/>
        </w:rPr>
        <w:t>[20] Singh, K. (2019). Introducing expected threat (</w:t>
      </w:r>
      <w:proofErr w:type="spellStart"/>
      <w:r>
        <w:rPr>
          <w:sz w:val="16"/>
        </w:rPr>
        <w:t>xT</w:t>
      </w:r>
      <w:proofErr w:type="spellEnd"/>
      <w:r>
        <w:rPr>
          <w:sz w:val="16"/>
        </w:rPr>
        <w:t>). Blog post. https://karun.in/blog/expected-threat.html</w:t>
      </w:r>
    </w:p>
    <w:p w14:paraId="41CADF9C" w14:textId="77777777" w:rsidR="005674BA" w:rsidRDefault="00D312C8">
      <w:pPr>
        <w:spacing w:after="0"/>
        <w:ind w:left="173" w:hanging="173"/>
      </w:pPr>
      <w:r>
        <w:rPr>
          <w:sz w:val="16"/>
        </w:rPr>
        <w:t xml:space="preserve">[21] </w:t>
      </w:r>
      <w:proofErr w:type="spellStart"/>
      <w:r>
        <w:rPr>
          <w:sz w:val="16"/>
        </w:rPr>
        <w:t>StatsBomb</w:t>
      </w:r>
      <w:proofErr w:type="spellEnd"/>
      <w:r>
        <w:rPr>
          <w:sz w:val="16"/>
        </w:rPr>
        <w:t xml:space="preserve">. (2021). </w:t>
      </w:r>
      <w:proofErr w:type="spellStart"/>
      <w:r>
        <w:rPr>
          <w:sz w:val="16"/>
        </w:rPr>
        <w:t>StatsBomb</w:t>
      </w:r>
      <w:proofErr w:type="spellEnd"/>
      <w:r>
        <w:rPr>
          <w:sz w:val="16"/>
        </w:rPr>
        <w:t xml:space="preserve"> announce the release of free </w:t>
      </w:r>
      <w:proofErr w:type="spellStart"/>
      <w:r>
        <w:rPr>
          <w:sz w:val="16"/>
        </w:rPr>
        <w:t>StatsBomb</w:t>
      </w:r>
      <w:proofErr w:type="spellEnd"/>
      <w:r>
        <w:rPr>
          <w:sz w:val="16"/>
        </w:rPr>
        <w:t xml:space="preserve"> 360 data: Euro 2020 available now. Blog post.</w:t>
      </w:r>
    </w:p>
    <w:p w14:paraId="1EF1296F" w14:textId="77777777" w:rsidR="005674BA" w:rsidRDefault="00D312C8">
      <w:pPr>
        <w:spacing w:after="0"/>
        <w:ind w:left="173" w:hanging="173"/>
      </w:pPr>
      <w:r>
        <w:rPr>
          <w:sz w:val="16"/>
        </w:rPr>
        <w:t xml:space="preserve">[22] Van </w:t>
      </w:r>
      <w:proofErr w:type="spellStart"/>
      <w:r>
        <w:rPr>
          <w:sz w:val="16"/>
        </w:rPr>
        <w:t>Haaren</w:t>
      </w:r>
      <w:proofErr w:type="spellEnd"/>
      <w:r>
        <w:rPr>
          <w:sz w:val="16"/>
        </w:rPr>
        <w:t xml:space="preserve">, J., </w:t>
      </w:r>
      <w:proofErr w:type="spellStart"/>
      <w:r>
        <w:rPr>
          <w:sz w:val="16"/>
        </w:rPr>
        <w:t>Dzyuba</w:t>
      </w:r>
      <w:proofErr w:type="spellEnd"/>
      <w:r>
        <w:rPr>
          <w:sz w:val="16"/>
        </w:rPr>
        <w:t xml:space="preserve">, V., </w:t>
      </w:r>
      <w:proofErr w:type="spellStart"/>
      <w:r>
        <w:rPr>
          <w:sz w:val="16"/>
        </w:rPr>
        <w:t>Hannosset</w:t>
      </w:r>
      <w:proofErr w:type="spellEnd"/>
      <w:r>
        <w:rPr>
          <w:sz w:val="16"/>
        </w:rPr>
        <w:t xml:space="preserve">, S., and Davis, J. (2015). Automatically discovering offensive patterns in soccer match data. Advances in Intelligent Data Analysis XIV, LNCS 9385, 286–297. </w:t>
      </w:r>
      <w:proofErr w:type="gramStart"/>
      <w:r>
        <w:rPr>
          <w:sz w:val="16"/>
        </w:rPr>
        <w:t>doi:</w:t>
      </w:r>
      <w:proofErr w:type="gramEnd"/>
      <w:r>
        <w:rPr>
          <w:sz w:val="16"/>
        </w:rPr>
        <w:t>10.1007/978-3-319-24465-5_25</w:t>
      </w:r>
    </w:p>
    <w:p w14:paraId="24CF3EEC" w14:textId="77777777" w:rsidR="005674BA" w:rsidRDefault="00D312C8">
      <w:pPr>
        <w:spacing w:after="0"/>
        <w:ind w:left="173" w:hanging="173"/>
      </w:pPr>
      <w:r>
        <w:rPr>
          <w:sz w:val="16"/>
        </w:rPr>
        <w:t xml:space="preserve">[23] Van Roy, M., </w:t>
      </w:r>
      <w:proofErr w:type="spellStart"/>
      <w:r>
        <w:rPr>
          <w:sz w:val="16"/>
        </w:rPr>
        <w:t>Robberechts</w:t>
      </w:r>
      <w:proofErr w:type="spellEnd"/>
      <w:r>
        <w:rPr>
          <w:sz w:val="16"/>
        </w:rPr>
        <w:t xml:space="preserve">, P., </w:t>
      </w:r>
      <w:proofErr w:type="spellStart"/>
      <w:r>
        <w:rPr>
          <w:sz w:val="16"/>
        </w:rPr>
        <w:t>Decroos</w:t>
      </w:r>
      <w:proofErr w:type="spellEnd"/>
      <w:r>
        <w:rPr>
          <w:sz w:val="16"/>
        </w:rPr>
        <w:t xml:space="preserve">, T., and Davis, J. (2020). Valuing on-the-ball actions in soccer: A critical comparison of </w:t>
      </w:r>
      <w:proofErr w:type="spellStart"/>
      <w:r>
        <w:rPr>
          <w:sz w:val="16"/>
        </w:rPr>
        <w:t>xT</w:t>
      </w:r>
      <w:proofErr w:type="spellEnd"/>
      <w:r>
        <w:rPr>
          <w:sz w:val="16"/>
        </w:rPr>
        <w:t xml:space="preserve"> and VAEP. Proceedings of the AAAI-20 Workshop on AI in Team Sports, 1–8.</w:t>
      </w:r>
    </w:p>
    <w:p w14:paraId="3DADB508" w14:textId="77777777" w:rsidR="005674BA" w:rsidRDefault="00D312C8">
      <w:pPr>
        <w:spacing w:after="0"/>
        <w:ind w:left="173" w:hanging="173"/>
      </w:pPr>
      <w:r>
        <w:rPr>
          <w:sz w:val="16"/>
        </w:rPr>
        <w:t xml:space="preserve">[24] </w:t>
      </w:r>
      <w:proofErr w:type="spellStart"/>
      <w:r>
        <w:rPr>
          <w:sz w:val="16"/>
        </w:rPr>
        <w:t>Vercruyssen</w:t>
      </w:r>
      <w:proofErr w:type="spellEnd"/>
      <w:r>
        <w:rPr>
          <w:sz w:val="16"/>
        </w:rPr>
        <w:t xml:space="preserve">, V., De </w:t>
      </w:r>
      <w:proofErr w:type="spellStart"/>
      <w:r>
        <w:rPr>
          <w:sz w:val="16"/>
        </w:rPr>
        <w:t>Raedt</w:t>
      </w:r>
      <w:proofErr w:type="spellEnd"/>
      <w:r>
        <w:rPr>
          <w:sz w:val="16"/>
        </w:rPr>
        <w:t>, L., and Davis, J. (2016). Qualitative spatial reasoning for soccer pass prediction. Proceedings of the 3rd Workshop on Machine Learning and Data Mining for Sports Analytics, CEUR Workshop Proceedings, vol. 1842 (ECML/PKDD 2016).</w:t>
      </w:r>
    </w:p>
    <w:p w14:paraId="4C06D0D1" w14:textId="77777777" w:rsidR="005674BA" w:rsidRDefault="00D312C8">
      <w:pPr>
        <w:spacing w:after="0"/>
        <w:ind w:left="173" w:hanging="173"/>
      </w:pPr>
      <w:r>
        <w:rPr>
          <w:sz w:val="16"/>
        </w:rPr>
        <w:t xml:space="preserve">[25] </w:t>
      </w:r>
      <w:proofErr w:type="spellStart"/>
      <w:r>
        <w:rPr>
          <w:sz w:val="16"/>
        </w:rPr>
        <w:t>Wielemaker</w:t>
      </w:r>
      <w:proofErr w:type="spellEnd"/>
      <w:r>
        <w:rPr>
          <w:sz w:val="16"/>
        </w:rPr>
        <w:t xml:space="preserve">, J., </w:t>
      </w:r>
      <w:proofErr w:type="spellStart"/>
      <w:r>
        <w:rPr>
          <w:sz w:val="16"/>
        </w:rPr>
        <w:t>Schrijvers</w:t>
      </w:r>
      <w:proofErr w:type="spellEnd"/>
      <w:r>
        <w:rPr>
          <w:sz w:val="16"/>
        </w:rPr>
        <w:t xml:space="preserve">, T., </w:t>
      </w:r>
      <w:proofErr w:type="spellStart"/>
      <w:r>
        <w:rPr>
          <w:sz w:val="16"/>
        </w:rPr>
        <w:t>Triska</w:t>
      </w:r>
      <w:proofErr w:type="spellEnd"/>
      <w:r>
        <w:rPr>
          <w:sz w:val="16"/>
        </w:rPr>
        <w:t xml:space="preserve">, M., and Lager, T. (2012). SWI-Prolog. Theory and Practice of Logic Programming, 12(1–2), 67–96. </w:t>
      </w:r>
      <w:proofErr w:type="gramStart"/>
      <w:r>
        <w:rPr>
          <w:sz w:val="16"/>
        </w:rPr>
        <w:t>doi:</w:t>
      </w:r>
      <w:proofErr w:type="gramEnd"/>
      <w:r>
        <w:rPr>
          <w:sz w:val="16"/>
        </w:rPr>
        <w:t>10.1017/S1471068411000494</w:t>
      </w:r>
    </w:p>
    <w:p w14:paraId="3C85C4C2" w14:textId="77777777" w:rsidR="005674BA" w:rsidRDefault="00D312C8">
      <w:pPr>
        <w:spacing w:after="0"/>
        <w:ind w:left="173" w:hanging="173"/>
      </w:pPr>
      <w:r>
        <w:rPr>
          <w:sz w:val="16"/>
        </w:rPr>
        <w:t>[26] Wilson, E. B. (1927). Probable inference, the law of succession, and statistical inference. Journal of the American Statistical Association, 22(158), 209–212. doi:10.1080/01621459.1927.10502953</w:t>
      </w:r>
    </w:p>
    <w:sectPr w:rsidR="005674BA" w:rsidSect="00034616">
      <w:type w:val="continuous"/>
      <w:pgSz w:w="11905" w:h="16838"/>
      <w:pgMar w:top="1080" w:right="891" w:bottom="1440" w:left="891"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CC9ED5" w14:textId="77777777" w:rsidR="0014079D" w:rsidRDefault="0014079D">
      <w:pPr>
        <w:spacing w:after="0"/>
      </w:pPr>
      <w:r>
        <w:separator/>
      </w:r>
    </w:p>
  </w:endnote>
  <w:endnote w:type="continuationSeparator" w:id="0">
    <w:p w14:paraId="2DF649DD" w14:textId="77777777" w:rsidR="0014079D" w:rsidRDefault="001407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CE1D9" w14:textId="77777777" w:rsidR="00D312C8" w:rsidRDefault="00D312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54C579" w14:textId="77777777" w:rsidR="00D312C8" w:rsidRDefault="00D312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867CC8" w14:textId="77777777" w:rsidR="00D312C8" w:rsidRDefault="00D312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DA105A" w14:textId="77777777" w:rsidR="0014079D" w:rsidRDefault="0014079D">
      <w:pPr>
        <w:spacing w:after="0"/>
      </w:pPr>
      <w:r>
        <w:separator/>
      </w:r>
    </w:p>
  </w:footnote>
  <w:footnote w:type="continuationSeparator" w:id="0">
    <w:p w14:paraId="32B250A5" w14:textId="77777777" w:rsidR="0014079D" w:rsidRDefault="001407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8092B" w14:textId="77777777" w:rsidR="00D312C8" w:rsidRDefault="00D312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A89CB2" w14:textId="77777777" w:rsidR="00D312C8" w:rsidRDefault="00D312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92"/>
      <w:gridCol w:w="8337"/>
      <w:gridCol w:w="892"/>
    </w:tblGrid>
    <w:tr w:rsidR="005674BA" w14:paraId="278CDE75" w14:textId="77777777">
      <w:trPr>
        <w:jc w:val="center"/>
      </w:trPr>
      <w:tc>
        <w:tcPr>
          <w:tcW w:w="892" w:type="dxa"/>
          <w:tcMar>
            <w:top w:w="0" w:type="dxa"/>
            <w:left w:w="0" w:type="dxa"/>
            <w:bottom w:w="0" w:type="dxa"/>
            <w:right w:w="0" w:type="dxa"/>
          </w:tcMar>
        </w:tcPr>
        <w:p w14:paraId="1D1538BF" w14:textId="77777777" w:rsidR="005674BA" w:rsidRDefault="00D312C8">
          <w:pPr>
            <w:spacing w:after="0"/>
            <w:jc w:val="center"/>
          </w:pPr>
          <w:r>
            <w:rPr>
              <w:noProof/>
            </w:rPr>
            <w:drawing>
              <wp:inline distT="0" distB="0" distL="0" distR="0">
                <wp:extent cx="429768" cy="67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emplate_image1.png"/>
                        <pic:cNvPicPr/>
                      </pic:nvPicPr>
                      <pic:blipFill>
                        <a:blip r:embed="rId1"/>
                        <a:stretch>
                          <a:fillRect/>
                        </a:stretch>
                      </pic:blipFill>
                      <pic:spPr>
                        <a:xfrm>
                          <a:off x="0" y="0"/>
                          <a:ext cx="429768" cy="676040"/>
                        </a:xfrm>
                        <a:prstGeom prst="rect">
                          <a:avLst/>
                        </a:prstGeom>
                      </pic:spPr>
                    </pic:pic>
                  </a:graphicData>
                </a:graphic>
              </wp:inline>
            </w:drawing>
          </w:r>
        </w:p>
      </w:tc>
      <w:tc>
        <w:tcPr>
          <w:tcW w:w="8337" w:type="dxa"/>
          <w:tcMar>
            <w:top w:w="0" w:type="dxa"/>
            <w:left w:w="0" w:type="dxa"/>
            <w:bottom w:w="0" w:type="dxa"/>
            <w:right w:w="0" w:type="dxa"/>
          </w:tcMar>
        </w:tcPr>
        <w:p w14:paraId="522EC9A8" w14:textId="77777777" w:rsidR="005674BA" w:rsidRDefault="00D312C8">
          <w:pPr>
            <w:spacing w:before="160" w:after="0"/>
            <w:jc w:val="center"/>
          </w:pPr>
          <w:r>
            <w:rPr>
              <w:b/>
              <w:sz w:val="18"/>
            </w:rPr>
            <w:t>12th International Conference on Signal Processing &amp; Intelligent Systems</w:t>
          </w:r>
          <w:r>
            <w:br/>
          </w:r>
          <w:proofErr w:type="spellStart"/>
          <w:r>
            <w:rPr>
              <w:sz w:val="17"/>
            </w:rPr>
            <w:t>Shahrood</w:t>
          </w:r>
          <w:proofErr w:type="spellEnd"/>
          <w:r>
            <w:rPr>
              <w:sz w:val="17"/>
            </w:rPr>
            <w:t xml:space="preserve"> University of Technology, December 30–31, 2026</w:t>
          </w:r>
        </w:p>
      </w:tc>
      <w:tc>
        <w:tcPr>
          <w:tcW w:w="892" w:type="dxa"/>
          <w:tcMar>
            <w:top w:w="0" w:type="dxa"/>
            <w:left w:w="0" w:type="dxa"/>
            <w:bottom w:w="0" w:type="dxa"/>
            <w:right w:w="0" w:type="dxa"/>
          </w:tcMar>
        </w:tcPr>
        <w:p w14:paraId="67FB1CCD" w14:textId="77777777" w:rsidR="005674BA" w:rsidRDefault="00D312C8">
          <w:pPr>
            <w:spacing w:after="0"/>
            <w:jc w:val="center"/>
          </w:pPr>
          <w:r>
            <w:rPr>
              <w:noProof/>
            </w:rPr>
            <w:drawing>
              <wp:inline distT="0" distB="0" distL="0" distR="0">
                <wp:extent cx="429768" cy="745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emplate_image2.png"/>
                        <pic:cNvPicPr/>
                      </pic:nvPicPr>
                      <pic:blipFill>
                        <a:blip r:embed="rId2"/>
                        <a:stretch>
                          <a:fillRect/>
                        </a:stretch>
                      </pic:blipFill>
                      <pic:spPr>
                        <a:xfrm>
                          <a:off x="0" y="0"/>
                          <a:ext cx="429768" cy="745573"/>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77B9"/>
    <w:rsid w:val="0006063C"/>
    <w:rsid w:val="0014079D"/>
    <w:rsid w:val="0015074B"/>
    <w:rsid w:val="0029639D"/>
    <w:rsid w:val="00326F90"/>
    <w:rsid w:val="005674BA"/>
    <w:rsid w:val="00626BB0"/>
    <w:rsid w:val="007A7199"/>
    <w:rsid w:val="007B2F4B"/>
    <w:rsid w:val="00AA1D8D"/>
    <w:rsid w:val="00B47730"/>
    <w:rsid w:val="00C460CC"/>
    <w:rsid w:val="00C8450C"/>
    <w:rsid w:val="00CB0664"/>
    <w:rsid w:val="00CD4D5E"/>
    <w:rsid w:val="00D312C8"/>
    <w:rsid w:val="00DA11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C3834"/>
  <w14:defaultImageDpi w14:val="300"/>
  <w15:docId w15:val="{7B341F77-1650-4245-8E86-7A4EC6F5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Cs/>
      <w:i/>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795BB-8CB5-4FDE-A29F-B8B6EBFE3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3866</Words>
  <Characters>22041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Interpretable Rules for Rare Build-Up Failures in Football</dc:title>
  <dc:subject>Full English manuscript, unabridged working version</dc:subject>
  <dc:creator>Moein Hassanpour</dc:creator>
  <cp:keywords/>
  <dc:description>generated by python-docx</dc:description>
  <cp:lastModifiedBy>admin</cp:lastModifiedBy>
  <cp:revision>7</cp:revision>
  <dcterms:created xsi:type="dcterms:W3CDTF">2013-12-23T23:15:00Z</dcterms:created>
  <dcterms:modified xsi:type="dcterms:W3CDTF">2026-10-16T09:59:00Z</dcterms:modified>
  <cp:category/>
</cp:coreProperties>
</file>