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color w:val="2E86AB"/>
          <w:sz w:val="32"/>
          <w:szCs w:val="32"/>
        </w:rPr>
        <w:t xml:space="preserve">test-dynamic-charts.xlsx</w:t>
      </w:r>
    </w:p>
    <w:p>
      <w:pPr>
        <w:spacing w:after="200"/>
      </w:pPr>
      <w:r>
        <w:rPr>
          <w:sz w:val="20"/>
          <w:szCs w:val="20"/>
        </w:rPr>
        <w:t xml:space="preserve">Generated on: 9/21/2025</w:t>
      </w:r>
    </w:p>
    <w:p>
      <w:pPr>
        <w:spacing w:after="200"/>
      </w:pPr>
      <w:r>
        <w:rPr>
          <w:sz w:val="20"/>
          <w:szCs w:val="20"/>
        </w:rPr>
        <w:t xml:space="preserve">Company: ReportSonic AI</w:t>
      </w:r>
    </w:p>
    <w:p>
      <w:pPr>
        <w:spacing w:after="400"/>
      </w:pPr>
      <w:r>
        <w:rPr>
          <w:sz w:val="20"/>
          <w:szCs w:val="20"/>
        </w:rPr>
        <w:t xml:space="preserve">Client: Client</w:t>
      </w:r>
    </w:p>
    <w:p>
      <w:pPr>
        <w:pStyle w:val="Heading1"/>
        <w:spacing w:before="400" w:after="200"/>
      </w:pPr>
      <w:r>
        <w:rPr>
          <w:b/>
          <w:bCs/>
          <w:color w:val="2E86AB"/>
          <w:sz w:val="24"/>
          <w:szCs w:val="24"/>
        </w:rPr>
        <w:t xml:space="preserve">Executive Summary</w:t>
      </w:r>
    </w:p>
    <w:p>
      <w:pPr>
        <w:spacing w:after="400"/>
      </w:pPr>
      <w:r>
        <w:rPr>
          <w:sz w:val="22"/>
          <w:szCs w:val="22"/>
        </w:rPr>
        <w:t xml:space="preserve">Test with dynamic chart generation</w:t>
      </w:r>
    </w:p>
    <w:p>
      <w:pPr>
        <w:pStyle w:val="Heading1"/>
        <w:spacing w:before="400" w:after="200"/>
      </w:pPr>
      <w:r>
        <w:rPr>
          <w:b/>
          <w:bCs/>
          <w:color w:val="2E86AB"/>
          <w:sz w:val="24"/>
          <w:szCs w:val="24"/>
        </w:rPr>
        <w:t xml:space="preserve">AI Insights</w:t>
      </w:r>
    </w:p>
    <w:p>
      <w:pPr>
        <w:spacing w:after="200"/>
      </w:pPr>
      <w:r>
        <w:rPr>
          <w:sz w:val="22"/>
          <w:szCs w:val="22"/>
        </w:rPr>
        <w:t xml:space="preserve">1. Data shows clear patterns</w:t>
      </w:r>
    </w:p>
    <w:p>
      <w:pPr>
        <w:spacing w:after="200"/>
      </w:pPr>
      <w:r>
        <w:rPr>
          <w:sz w:val="22"/>
          <w:szCs w:val="22"/>
        </w:rPr>
        <w:t xml:space="preserve">2. Trends are evident</w:t>
      </w:r>
    </w:p>
    <w:p>
      <w:pPr>
        <w:pStyle w:val="Heading1"/>
        <w:spacing w:before="400" w:after="200"/>
      </w:pPr>
      <w:r>
        <w:rPr>
          <w:b/>
          <w:bCs/>
          <w:color w:val="2E86AB"/>
          <w:sz w:val="24"/>
          <w:szCs w:val="24"/>
        </w:rPr>
        <w:t xml:space="preserve">Data Visualizations</w:t>
      </w:r>
    </w:p>
    <w:p>
      <w:pPr>
        <w:spacing w:before="200" w:after="100"/>
      </w:pPr>
      <w:r>
        <w:rPr>
          <w:b/>
          <w:bCs/>
          <w:color w:val="2E86AB"/>
          <w:sz w:val="22"/>
          <w:szCs w:val="22"/>
        </w:rPr>
        <w:t xml:space="preserve">1. Sales</w:t>
      </w:r>
    </w:p>
    <w:p>
      <w:pPr>
        <w:spacing w:before="200" w:after="100"/>
      </w:pPr>
      <w:r>
        <w:rPr>
          <w:b/>
          <w:bCs/>
          <w:color w:val="2E86AB"/>
          <w:sz w:val="22"/>
          <w:szCs w:val="22"/>
        </w:rPr>
        <w:t xml:space="preserve">2. Profit</w:t>
      </w:r>
    </w:p>
    <w:p>
      <w:pPr>
        <w:spacing w:before="200" w:after="100"/>
      </w:pPr>
      <w:r>
        <w:rPr>
          <w:b/>
          <w:bCs/>
          <w:color w:val="2E86AB"/>
          <w:sz w:val="22"/>
          <w:szCs w:val="22"/>
        </w:rPr>
        <w:t xml:space="preserve">3. Region</w:t>
      </w:r>
    </w:p>
    <w:p>
      <w:pPr>
        <w:spacing w:before="200" w:after="100"/>
      </w:pPr>
      <w:r>
        <w:rPr>
          <w:b/>
          <w:bCs/>
          <w:color w:val="2E86AB"/>
          <w:sz w:val="22"/>
          <w:szCs w:val="22"/>
        </w:rPr>
        <w:t xml:space="preserve">4. Growth</w:t>
      </w:r>
    </w:p>
    <w:p>
      <w:pPr>
        <w:spacing w:before="200" w:after="100"/>
      </w:pPr>
      <w:r>
        <w:rPr>
          <w:b/>
          <w:bCs/>
          <w:color w:val="2E86AB"/>
          <w:sz w:val="22"/>
          <w:szCs w:val="22"/>
        </w:rPr>
        <w:t xml:space="preserve">5. Category</w:t>
      </w:r>
    </w:p>
    <w:p>
      <w:pPr>
        <w:spacing w:after="100"/>
      </w:pPr>
      <w:r>
        <w:rPr>
          <w:color w:val="666666"/>
          <w:sz w:val="20"/>
          <w:szCs w:val="20"/>
        </w:rPr>
        <w:t xml:space="preserve">Chart Type: bar | Data Points: 0</w:t>
      </w:r>
    </w:p>
    <w:p>
      <w:pPr>
        <w:spacing w:after="100"/>
      </w:pPr>
      <w:r>
        <w:rPr>
          <w:color w:val="666666"/>
          <w:sz w:val="20"/>
          <w:szCs w:val="20"/>
        </w:rPr>
        <w:t xml:space="preserve">Chart Type: bar | Data Points: 0</w:t>
      </w:r>
    </w:p>
    <w:p>
      <w:pPr>
        <w:spacing w:after="100"/>
      </w:pPr>
      <w:r>
        <w:rPr>
          <w:color w:val="666666"/>
          <w:sz w:val="20"/>
          <w:szCs w:val="20"/>
        </w:rPr>
        <w:t xml:space="preserve">Chart Type: pie | Data Points: 0</w:t>
      </w:r>
    </w:p>
    <w:p>
      <w:pPr>
        <w:spacing w:after="100"/>
      </w:pPr>
      <w:r>
        <w:rPr>
          <w:color w:val="666666"/>
          <w:sz w:val="20"/>
          <w:szCs w:val="20"/>
        </w:rPr>
        <w:t xml:space="preserve">Chart Type: bar | Data Points: 0</w:t>
      </w:r>
    </w:p>
    <w:p>
      <w:pPr>
        <w:spacing w:after="100"/>
      </w:pPr>
      <w:r>
        <w:rPr>
          <w:color w:val="666666"/>
          <w:sz w:val="20"/>
          <w:szCs w:val="20"/>
        </w:rPr>
        <w:t xml:space="preserve">Chart Type: pie | Data Points: 0</w:t>
      </w:r>
    </w:p>
    <w:p>
      <w:pPr>
        <w:spacing w:after="200"/>
      </w:pPr>
      <w:r>
        <w:rPr>
          <w:sz w:val="20"/>
          <w:szCs w:val="20"/>
        </w:rPr>
        <w:t xml:space="preserve">This bar chart reveals the distribution pattern of Sales values across 10 data points. Moderate variability observed with values ranging from 100.00 to 300.00, showing balanced distribution. The average of 208.00 with a standard deviation of 58.96 indicates moderate data dispersion. This visualization is crucial for identifying trends, outliers, and performance patterns that drive strategic decision-making.</w:t>
      </w:r>
    </w:p>
    <w:p>
      <w:pPr>
        <w:spacing w:after="200"/>
      </w:pPr>
      <w:r>
        <w:rPr>
          <w:sz w:val="20"/>
          <w:szCs w:val="20"/>
        </w:rPr>
        <w:t xml:space="preserve">This bar chart reveals the distribution pattern of Profit values across 10 data points. Moderate variability observed with values ranging from 20.00 to 60.00, showing balanced distribution. The average of 41.50 with a standard deviation of 11.75 indicates moderate data dispersion. This visualization is crucial for identifying trends, outliers, and performance patterns that drive strategic decision-making.</w:t>
      </w:r>
    </w:p>
    <w:p>
      <w:pPr>
        <w:spacing w:after="200"/>
      </w:pPr>
      <w:r>
        <w:rPr>
          <w:sz w:val="20"/>
          <w:szCs w:val="20"/>
        </w:rPr>
        <w:t xml:space="preserve">This pie chart illustrates the categorical distribution of Region across 10 total entries. Highly diversified distribution with "North" at only 20.0% of entries, indicating fragmented market segments or balanced categories. The presence of 5 unique categories demonstrates moderate diversity in this field. This visualization is essential for understanding market segmentation, customer preferences, and strategic positioning opportunities.</w:t>
      </w:r>
    </w:p>
    <w:p>
      <w:pPr>
        <w:spacing w:after="200"/>
      </w:pPr>
      <w:r>
        <w:rPr>
          <w:sz w:val="20"/>
          <w:szCs w:val="20"/>
        </w:rPr>
        <w:t xml:space="preserve">This bar chart reveals the distribution pattern of Growth values across 10 data points. Moderate variability observed with values ranging from 15.00 to 35.00, showing balanced distribution. The average of 23.50 with a standard deviation of 6.33 indicates moderate data dispersion. This visualization is crucial for identifying trends, outliers, and performance patterns that drive strategic decision-making.</w:t>
      </w:r>
    </w:p>
    <w:p>
      <w:pPr>
        <w:spacing w:after="200"/>
      </w:pPr>
      <w:r>
        <w:rPr>
          <w:sz w:val="20"/>
          <w:szCs w:val="20"/>
        </w:rPr>
        <w:t xml:space="preserve">This pie chart illustrates the categorical distribution of Category across 10 total entries. Moderate concentration observed with "Premium" representing 40.0% of entries, suggesting a competitive landscape with a leading category. The presence of 3 unique categories demonstrates moderate diversity in this field. This visualization is essential for understanding market segmentation, customer preferences, and strategic positioning opportunities.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2025-09-21T00:37:10.749Z</dcterms:created>
  <dcterms:modified xsi:type="dcterms:W3CDTF">2025-09-21T00:37:10.749Z</dcterms:modified>
</cp:coreProperties>
</file>

<file path=docProps/custom.xml><?xml version="1.0" encoding="utf-8"?>
<Properties xmlns="http://schemas.openxmlformats.org/officeDocument/2006/custom-properties" xmlns:vt="http://schemas.openxmlformats.org/officeDocument/2006/docPropsVTypes"/>
</file>