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5"/>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1"/>
          <w:bCs w:val="1"/>
          <w:sz w:val="32"/>
          <w:szCs w:val="32"/>
          <w:highlight w:val="white"/>
          <w:rtl w:val="0"/>
        </w:rPr>
        <w:t xml:space="preserve">An Experimental Performance Evaluation of Concurrency and Parallelism in Modern Programming Languages</w:t>
      </w: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white"/>
          <w:u w:val="none"/>
          <w:vertAlign w:val="baseline"/>
          <w:rtl w:val="0"/>
        </w:rPr>
        <w:t xml:space="preserve"> </w:t>
      </w:r>
    </w:p>
    <w:p w:rsidR="00000000" w:rsidDel="00000000" w:rsidP="00000000" w:rsidRDefault="00000000" w:rsidRPr="00000000" w14:paraId="00000003">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Times New Roman" w:cs="Times New Roman" w:eastAsia="Times New Roman" w:hAnsi="Times New Roman"/>
          <w:b w:val="1"/>
          <w:bCs w:val="1"/>
          <w:i w:val="1"/>
          <w:iCs w:val="1"/>
          <w:smallCaps w:val="0"/>
          <w:strike w:val="0"/>
          <w:color w:val="222222"/>
          <w:sz w:val="24"/>
          <w:szCs w:val="24"/>
          <w:highlight w:val="white"/>
          <w:u w:val="none"/>
          <w:vertAlign w:val="subscript"/>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Isma’il Faruqy</w:t>
      </w:r>
      <w:r w:rsidDel="00000000" w:rsidR="00000000" w:rsidRPr="00000000">
        <w:rPr>
          <w:rFonts w:ascii="Times New Roman" w:cs="Times New Roman" w:eastAsia="Times New Roman" w:hAnsi="Times New Roman"/>
          <w:b w:val="0"/>
          <w:bCs w:val="0"/>
          <w:i w:val="1"/>
          <w:iCs w:val="1"/>
          <w:smallCaps w:val="0"/>
          <w:strike w:val="0"/>
          <w:color w:val="222222"/>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Department of </w:t>
      </w:r>
      <w:r w:rsidDel="00000000" w:rsidR="00000000" w:rsidRPr="00000000">
        <w:rPr>
          <w:rFonts w:ascii="Times New Roman" w:cs="Times New Roman" w:eastAsia="Times New Roman" w:hAnsi="Times New Roman"/>
          <w:i w:val="1"/>
          <w:iCs w:val="1"/>
          <w:sz w:val="16"/>
          <w:szCs w:val="16"/>
          <w:rtl w:val="0"/>
        </w:rPr>
        <w:t xml:space="preserve">Informatics</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Universit</w:t>
      </w:r>
      <w:r w:rsidDel="00000000" w:rsidR="00000000" w:rsidRPr="00000000">
        <w:rPr>
          <w:rFonts w:ascii="Times New Roman" w:cs="Times New Roman" w:eastAsia="Times New Roman" w:hAnsi="Times New Roman"/>
          <w:i w:val="1"/>
          <w:iCs w:val="1"/>
          <w:sz w:val="16"/>
          <w:szCs w:val="16"/>
          <w:rtl w:val="0"/>
        </w:rPr>
        <w:t xml:space="preserve">as Pembangunan Nasional “Veteran” Jakarta</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i w:val="1"/>
          <w:iCs w:val="1"/>
          <w:sz w:val="16"/>
          <w:szCs w:val="16"/>
          <w:rtl w:val="0"/>
        </w:rPr>
        <w:t xml:space="preserve"> Jakarta</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i w:val="1"/>
          <w:iCs w:val="1"/>
          <w:sz w:val="16"/>
          <w:szCs w:val="16"/>
          <w:rtl w:val="0"/>
        </w:rPr>
        <w:t xml:space="preserve">Indonesia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email:</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superscript"/>
          <w:rtl w:val="0"/>
        </w:rPr>
        <w:t xml:space="preserve"> </w:t>
      </w:r>
      <w:r w:rsidDel="00000000" w:rsidR="00000000" w:rsidRPr="00000000">
        <w:rPr>
          <w:rFonts w:ascii="Times New Roman" w:cs="Times New Roman" w:eastAsia="Times New Roman" w:hAnsi="Times New Roman"/>
          <w:i w:val="1"/>
          <w:iCs w:val="1"/>
          <w:sz w:val="16"/>
          <w:szCs w:val="16"/>
          <w:rtl w:val="0"/>
        </w:rPr>
        <w:t xml:space="preserve">ismailfaruq.qy@gmail.com</w:t>
      </w:r>
      <w:r w:rsidDel="00000000" w:rsidR="00000000" w:rsidRPr="00000000">
        <w:rPr>
          <w:rtl w:val="0"/>
        </w:rPr>
      </w:r>
    </w:p>
    <w:tbl>
      <w:tblPr>
        <w:tblStyle w:val="Table1"/>
        <w:tblW w:w="9069.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4"/>
        <w:gridCol w:w="283"/>
        <w:gridCol w:w="6662"/>
        <w:tblGridChange w:id="0">
          <w:tblGrid>
            <w:gridCol w:w="2124"/>
            <w:gridCol w:w="283"/>
            <w:gridCol w:w="6662"/>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 R T I C L E   I N F O</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B S T R A C T</w:t>
            </w:r>
          </w:p>
        </w:tc>
      </w:tr>
      <w:tr>
        <w:trPr>
          <w:cantSplit w:val="0"/>
          <w:trHeight w:val="1136"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5"/>
                <w:szCs w:val="15"/>
                <w:u w:val="none"/>
                <w:shd w:fill="auto" w:val="clear"/>
                <w:vertAlign w:val="baseline"/>
                <w:rtl w:val="0"/>
              </w:rPr>
              <w:t xml:space="preserve">Article history: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Received ….</w:t>
              <w:br w:type="textWrapping"/>
              <w:t xml:space="preserve">Revised ….</w:t>
              <w:br w:type="textWrapping"/>
              <w:t xml:space="preserve">Accepted …. </w:t>
              <w:br w:type="textWrapping"/>
              <w:t xml:space="preserve">Available online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restart"/>
            <w:tcBorders>
              <w:top w:color="000000" w:space="0" w:sz="4" w:val="single"/>
              <w:left w:color="000000" w:space="0" w:sz="0" w:val="nil"/>
              <w:right w:color="000000" w:space="0" w:sz="0" w:val="nil"/>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It requires concise, specific, accurate and factual information to briefly show the reasons for study, proposed solution, the method used, proposed contribution, research objectives to be achieved, results and conclusions, and highlight the difference/benefit it offers from a pre-existing method. Do not display procedure steps and citation source. It should contain a maximum of 250 words. Remember it will be read first by the reader. This is your article advertising, make it as attractive as possible, and easy to understand. [Heading isi abstract].</w:t>
            </w:r>
          </w:p>
        </w:tc>
      </w:tr>
      <w:tr>
        <w:trPr>
          <w:cantSplit w:val="0"/>
          <w:trHeight w:val="1600"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5"/>
                <w:szCs w:val="15"/>
                <w:u w:val="none"/>
                <w:shd w:fill="auto" w:val="clear"/>
                <w:vertAlign w:val="baseline"/>
                <w:rtl w:val="0"/>
              </w:rPr>
              <w:t xml:space="preserve">Keywords: [ Key word heading]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Maximum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Five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Word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Key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Important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tcBorders>
              <w:top w:color="000000" w:space="0" w:sz="4" w:val="single"/>
              <w:left w:color="000000" w:space="0" w:sz="0" w:val="nil"/>
              <w:right w:color="000000" w:space="0" w:sz="0" w:val="nil"/>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694"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5"/>
                <w:szCs w:val="15"/>
                <w:u w:val="none"/>
                <w:shd w:fill="auto" w:val="clear"/>
                <w:vertAlign w:val="baseline"/>
                <w:rtl w:val="0"/>
              </w:rPr>
              <w:t xml:space="preserve">IEEE style in citing this article: [citation Heading]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F. Fulan and F. Fulana, "Article Title,"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JoCoSiR: Jurnal Ilmiah Teknologi Sistem Informasi</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vol. 7, no. 1, pp. 1-10, 2021. [Fill citation heading]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tcBorders>
              <w:top w:color="000000" w:space="0" w:sz="4" w:val="single"/>
              <w:left w:color="000000" w:space="0" w:sz="0" w:val="nil"/>
              <w:right w:color="000000" w:space="0" w:sz="0" w:val="nil"/>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236" w:hRule="atLeast"/>
          <w:tblHeader w:val="0"/>
        </w:trPr>
        <w:tc>
          <w:tcPr>
            <w:gridSpan w:val="3"/>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Copyright: Journal of Computer Science Research (JoCoSiR) with CC BY NC SA license.</w:t>
            </w:r>
          </w:p>
        </w:tc>
      </w:tr>
    </w:tbl>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Introduction  [Heading of Section]</w:t>
      </w:r>
    </w:p>
    <w:p w:rsidR="00000000" w:rsidDel="00000000" w:rsidP="00000000" w:rsidRDefault="00000000" w:rsidRPr="00000000" w14:paraId="0000001E">
      <w:pPr>
        <w:spacing w:after="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the ubiquity of multicore processors, cloud infrastructures, and large-scale distributed systems, concurrency and parallelism have become indispensable foundations of modern high-performance computing. Efficiently exploiting hardware parallelism is essential to achieve scalable performance across domains ranging from scientific computing to cloud services and data analytics (Al-hayanni et al., 2020; Poolla &amp; Saxena, 2023; Crichton &amp; Krishnamurthi, 2024; Schryen, 2024). Large-scale benchmarking across modern parallel programming systems also shows substantial variation in how different languages utilize shared-memory architectures, with Python consistently underperforming relative to compiled languages such as Rust and C++ (Diehl et al., 2024). However, despite advances in hardware and runtime environments, writing correct and efficient concurrent programs remains a major challenge. Synchronization complexity, nondeterministic interleavings, data races, and load-balancing problems continue to make performance and correctness difficult to achieve simultaneously (Cheeseman et al., 2023; Menard et al., 2023; Din et al., 2024; Yuan &amp; Yang, 2020).</w:t>
      </w:r>
    </w:p>
    <w:p w:rsidR="00000000" w:rsidDel="00000000" w:rsidP="00000000" w:rsidRDefault="00000000" w:rsidRPr="00000000" w14:paraId="0000001F">
      <w:pPr>
        <w:spacing w:after="0" w:line="240" w:lineRule="auto"/>
        <w:ind w:firstLine="56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response, modern programming languages propose diverse concurrency abstractions that influence both developer productivity and runtime behaviour. Go introduces lightweight goroutines with channel-based communication, Rust enforces data-race safety through ownership and borrowing semantics formalized through its fearless concurrency model (Abhinav et al., 2020; Jung et al., 2021; Pearce, 2021; Klabnik &amp; Nichols, 2023), Java relies on thread-based parallelism supported by JIT compilation and garbage collection mechanisms, while Python adopts multiprocessing to bypass the limitations of the Global Interpreter Lock (GIL) (Chaudhary et al., 2025; Rogowski et al., 2023). Empirical studies evaluating these languages frequently focus on limited workloads or narrow performance metrics, such as execution time, which restricts generalizability across application domains (Morshed &amp; Roy, 2024; Zeng, 2023; Nigro, 2022). Recent comparative research also demonstrates that Python’s performance limitations can be substantially mitigated through the integration of Rust-based modules, highlighting the relevance of hybrid architectural approaches in modern parallel systems (Mroczek et al., 2025). Furthermore, classical and revised models of parallel efficiency including Amdahl’s formulation (Amdahl, 1967) and Gustafson’s scaled-speedup perspective (Gustafson, 1988) highlight that achievable performance depends on multiple interacting factors such as synchronization overhead, workload scalability, and hardware heterogeneity (Poolla &amp; Saxena, 2023; Schryen, 2024). These theoretical and empirical limitations underscore the need for reproducible, controlled, cross-language evaluations that analyze concurrency behaviour comprehensively under identical experimental conditions.</w:t>
      </w:r>
    </w:p>
    <w:p w:rsidR="00000000" w:rsidDel="00000000" w:rsidP="00000000" w:rsidRDefault="00000000" w:rsidRPr="00000000" w14:paraId="00000020">
      <w:pPr>
        <w:spacing w:after="0" w:line="240" w:lineRule="auto"/>
        <w:ind w:firstLine="56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address this gap, this study conducts a standardized benchmarking experiment comparing four representative modern languages; Go, Rust, Java, and Python, each embodying a distinct concurrency paradigm (Crichton &amp; Krishnamurthi, 2024; Jung et al., 2021; Abhinav et al., 2020). Three representative workloads are employed: dense matrix multiplication (compute-bound), sorting algorithms (memory-intensive), and producer–consumer pipelines (synchronization-bound). Metrics including execution time, CPU utilization, memory footprint, speedup, and efficiency are measured under identical hardware and runtime environments, with warm-up control and steady-state execution to minimize noise (Arora et al., 2021, 2023; Big et al., 2021; Pons et al., 2025; Schryen, 2024; Rogowski et al., 2023). The research objectives are to quantify language-level performance, analyze the effects of concurrency models on scalability and predictability, and derive empirical guidelines for language selection and education in parallel programming (Menard et al., 2023; Poolla &amp; Saxena, 2023; Newhall et al., 2025).</w:t>
      </w:r>
    </w:p>
    <w:p w:rsidR="00000000" w:rsidDel="00000000" w:rsidP="00000000" w:rsidRDefault="00000000" w:rsidRPr="00000000" w14:paraId="00000021">
      <w:pPr>
        <w:spacing w:after="0" w:line="240" w:lineRule="auto"/>
        <w:ind w:firstLine="56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contributes in three key ways: (1) designing a reproducible cross-language benchmarking suite with transparent configuration and execution protocols; (2) providing a multidimensional empirical comparison covering speed, resource efficiency, and runtime stability; and (3) delivering an evidence-based analysis linking observed performance patterns to concurrency mechanisms such as scheduling, synchronization, ownership, and garbage collection (Jung et al., 2021; Liu et al., 2021; Menard et al., 2023). By integrating empirical findings with theoretical perspectives, the research offers practical insights for software engineers optimizing concurrent systems and for educators designing curricula around parallelism and performance.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Based on prior studies, it is expected that lightweight concurrency primitives like goroutines and compile-time safety features like Rust’s ownership system will yield superior scalability and predictable efficiency, while Python’s GIL may limit performance in CPU-bound workloads unless complemented with multiprocessing or native modules (Abhinav et al., 2020; Rogowski et al., 2023; Jung et al., 2021). Java’s JIT optimizations are anticipated to improve throughput in long-running tasks once warm-up is complete (Arora et al., 2021; Schryen, 2024). The remainder of this paper presents the experimental design, discusses the comparative results, and concludes with implications for future parallel programming and language design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State of the Art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80" w:before="80" w:line="240" w:lineRule="auto"/>
        <w:ind w:left="567" w:right="0" w:hanging="567"/>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Modern Concurrency Models in Programming Languages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Modern programming languages adopt distinct concurrency paradigms that balance performance, safety, and programmability. Go employs goroutines and channels, enabling lightweight concurrency with cooperative scheduling and message passing. This abstraction reduces developer overhead but may yield unpredictable scheduling behaviour under heavy workloads (Abhinav et al., 2020; Cheeseman et al., 2023). Rust introduces ownership and borrowing semantics to enforce data-race freedom at compile time, supporting what the Rust community terms fearless concurrency. These static guarantees eliminate common race conditions while maintaining low runtime overhead (Jung et al., 2021; Pearce, 2021).</w:t>
      </w:r>
    </w:p>
    <w:p w:rsidR="00000000" w:rsidDel="00000000" w:rsidP="00000000" w:rsidRDefault="00000000" w:rsidRPr="00000000" w14:paraId="00000026">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 in contrast, relies on OS-backed threads, synchronized blocks, and high-level concurrency utilities built atop the JVM. Its performance is influenced by Just-In-Time (JIT) compilation and generational garbage collection, both of which may introduce warm-up costs and non-deterministic latency (Arora et al., 2021). Python’s concurrency model is limited by the Global Interpreter Lock (GIL), which prevents true parallel CPU-bound execution within a single process. Parallelism is often achieved via multiprocessing or native extensions, adding communication overhead and complicating workload distribution (Rogowski et al., 2023).</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research has also explored more structured concurrency paradigms. Menard et al. (2023) presented Lingua Franca (LF), a deterministic coordination language that provides logical-time semantics to eliminate nondeterminism, thereby improving reproducibility and predictability in concurrent systems. Behaviour-oriented frameworks similarly emphasize correctness through structured actor interactions (Cheeseman et al., 2023). Together, these works show that modern concurrency models reflect diverse trade-offs between safety, expressiveness, and performance.</w:t>
      </w:r>
    </w:p>
    <w:p w:rsidR="00000000" w:rsidDel="00000000" w:rsidP="00000000" w:rsidRDefault="00000000" w:rsidRPr="00000000" w14:paraId="000000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80" w:before="80" w:line="240" w:lineRule="auto"/>
        <w:ind w:left="567" w:right="0" w:hanging="567"/>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Cross-Language Empirical Evaluations</w:t>
      </w:r>
    </w:p>
    <w:p w:rsidR="00000000" w:rsidDel="00000000" w:rsidP="00000000" w:rsidRDefault="00000000" w:rsidRPr="00000000" w14:paraId="0000002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Empirical evaluations of concurrency performance across different programming languages have been conducted, but most works either focus on a subset of languages or use narrow workload selections. Abhinav et al. (2020) benchmarked Go and Java on matrix multiplication and PageRank computations, finding that Go’s goroutines are advantageous for short-lived tasks while Java benefits from JIT optimizations in longer workloads. Similarly, Morshed and Roy (2024) compared Go and Java across compute-intensive and memory-intensive algorithms, confirming the impact of JIT warm-up and garbage collection on runtime variability.</w:t>
      </w:r>
    </w:p>
    <w:p w:rsidR="00000000" w:rsidDel="00000000" w:rsidP="00000000" w:rsidRDefault="00000000" w:rsidRPr="00000000" w14:paraId="0000002A">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studies explore broader comparative evaluations. Arora, Westrick, and Acar (2021, 2023) examined functional parallel programming and ported benchmarks across Go, Java, C++, and specialized runtime systems. Their findings highlight that memory management strategies, boxing/unboxing, and runtime scheduling significantly affect both time and space performance. Zeng (2023) provided a comparative study of C parallel models, demonstrating how thread creation overhead, memory layout, and scheduling policies influence speedup. Larger-scale multi-language benchmarks, such as those summarized in JournalReview.md, further show that cross-language performance variation emerges from differences in runtime behaviour, safety guarantees, and concurrency abstractions.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existing empirical studies rarely evaluate Go, Rust, Java, and Python together under identical conditions using standardized workloads. Python, in particular, is often excluded from low-level concurrency benchmarks due to the GIL, leaving its parallel behaviour underexplored relative to Rust or Go. This motivates the need for an integrated, reproducible evaluation across multiple languages and workload categories.</w:t>
      </w:r>
    </w:p>
    <w:p w:rsidR="00000000" w:rsidDel="00000000" w:rsidP="00000000" w:rsidRDefault="00000000" w:rsidRPr="00000000" w14:paraId="000000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80" w:before="80" w:line="240" w:lineRule="auto"/>
        <w:ind w:left="567" w:right="0" w:hanging="567"/>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Theoretical Models of Parallel Speedup and Scalability</w:t>
      </w:r>
    </w:p>
    <w:p w:rsidR="00000000" w:rsidDel="00000000" w:rsidP="00000000" w:rsidRDefault="00000000" w:rsidRPr="00000000" w14:paraId="0000002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Classical and contemporary models of parallel performance provide theoretical grounding for understanding scalability limits. Amdahl’s law (Amdahl, 1967) formalizes the upper bound of parallel speedup based on the serial portion of a program, whereas Gustafson (1988) introduced the scaled-speedup model, demonstrating that increasing problem size can yield better parallel efficiency. Modern extensions revisit these principles in the context of heterogeneous many-core systems. Al-hayanni et al. (2020) surveyed how architectural diversity, memory hierarchies, and load imbalance affect attainable speedup in real-world systems. Poolla and Saxena (2023) proposed machine-learned approximations of Amdahl-like speedup curves, demonstrating nonlinear scalability patterns across contemporary hardware. Schryen (2024) offered a unifying analytical framework for both speedup and efficiency, reconciling classical models with empirical observations in computational parallelization.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theoretical models underscore that performance is determined not only by language runtime efficiency but also by synchronization overheads, communication costs, thread scheduling, memory access patterns, and workload decomposition. Therefore, empirical evaluations must incorporate multiple performance metrics—including execution time, CPU utilization, memory footprint, speedup, and efficiency—to fully characterize concurrency behaviour across languages.</w:t>
      </w:r>
    </w:p>
    <w:p w:rsidR="00000000" w:rsidDel="00000000" w:rsidP="00000000" w:rsidRDefault="00000000" w:rsidRPr="00000000" w14:paraId="000000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80" w:before="80" w:line="240" w:lineRule="auto"/>
        <w:ind w:left="567" w:right="0" w:hanging="567"/>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Benchmarking Methodologies and Reproducibility Concerns</w:t>
      </w:r>
    </w:p>
    <w:p w:rsidR="00000000" w:rsidDel="00000000" w:rsidP="00000000" w:rsidRDefault="00000000" w:rsidRPr="00000000" w14:paraId="0000003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Benchmarking concurrent systems requires careful experimental design to ensure validity and reproducibility. Warm-up effects, garbage collection cycles, thread scheduling jitter, and OS-level background noise can significantly distort results (Arora et al., 2023; Schryen, 2024). Studies such as Big et al. (2021) and Pons et al. (2025) emphasize the importance of isolating runs, performing repeated execution, using fixed processor affinities, and collecting per-core utilization metrics. Reproducible benchmark suites such as PBBS (used in Arora et al., 2021) demonstrate the value of standardized workloads, deterministic input generation, and transparent configuration documentation.</w:t>
      </w:r>
    </w:p>
    <w:p w:rsidR="00000000" w:rsidDel="00000000" w:rsidP="00000000" w:rsidRDefault="00000000" w:rsidRPr="00000000" w14:paraId="00000031">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Methodological considerations also extend to runtime-specific characteristics. Rust's lack of garbage collection and predictable memory model reduce outlier behaviour in repeated runs (Jung et al., 2021). Python parallelism often requires multiprocessing or MPI-based task distribution (Rogowski et al., 2023), introducing process creation overheads and interprocess communication delays. GPU-oriented studies such as Wang et al. (2025) highlight the importance of selecting workloads that match hardware capabilities, while lock-free algorithm evaluations (Cárdenas et al., 2025) show how data-structure design impacts scalability.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benchmarking literature emphasizes that cross-language comparisons must be performed under controlled conditions with standardized workloads to avoid biased or misleading conclusions. These methodological considerations directly inform the design of the experimental framework used in this study.</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Method</w:t>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employs an experimental benchmarking methodology to quantitatively evaluate the performance of concurrency mechanisms in Go, Rust, Java, and Python. The design follows controlled-experiment principles to isolate the impact of programming-language runtime behavior from external system factors (Montgomery, 2020). The evaluation focuses on execution time, resource utilization, and scalability across representative parallel workloads under identical conditions.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ensure reproducibility, all experiments are executed under strictly identical hardware, operating system, compiler versions, and runtime configurations. Consistent algorithmic logic and fixed input sizes are imposed across languages to guarantee fair comparison. Warm-up phases are applied where applicable, especially for JIT-compiled environments, to eliminate transient execution effects (Arora et al., 2021). The design incorporates repeated trials, statistical aggregation, and systematic noise reduction measures, aligning with best practices in modern concurrency benchmarking (Arora et al., 2023; Menard et al., 2023; Schryen, 2024).</w:t>
      </w:r>
    </w:p>
    <w:p w:rsidR="00000000" w:rsidDel="00000000" w:rsidP="00000000" w:rsidRDefault="00000000" w:rsidRPr="00000000" w14:paraId="00000036">
      <w:pPr>
        <w:numPr>
          <w:ilvl w:val="1"/>
          <w:numId w:val="3"/>
        </w:numPr>
        <w:spacing w:after="80" w:before="80" w:line="240" w:lineRule="auto"/>
        <w:ind w:left="56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Benchmarking Workloads</w:t>
      </w:r>
    </w:p>
    <w:p w:rsidR="00000000" w:rsidDel="00000000" w:rsidP="00000000" w:rsidRDefault="00000000" w:rsidRPr="00000000" w14:paraId="0000003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benchmarking workloads selected for this study are designed to capture three fundamental classes of parallel computation: compute-bound, memory-bound, and synchronization-bound tasks. These tasks are widely used in empirical language evaluations due to their sensitivity to scheduling overhead, memory access patterns, and inter-thread communication costs (Abhinav et al., 2020; Morshed &amp; Roy, 2024; Zeng, 2023). Selecting representative workloads is essential, because performance in concurrent systems is highly dependent on algorithmic structure, memory access locality, synchronization frequency, and the underlying runtime model of each programming language (Diehl et al., 2024; Arora et al., 2023; Menard et al., 2023). All workloads were implemented with equivalent pseudocode, fixed input sizes, and identical computational complexity across Go, Rust, Java, and Python.</w:t>
      </w:r>
    </w:p>
    <w:p w:rsidR="00000000" w:rsidDel="00000000" w:rsidP="00000000" w:rsidRDefault="00000000" w:rsidRPr="00000000" w14:paraId="00000038">
      <w:pPr>
        <w:numPr>
          <w:ilvl w:val="0"/>
          <w:numId w:val="1"/>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Dense Matrix Multiplication (Compute-Bound Workload)</w:t>
      </w:r>
    </w:p>
    <w:p w:rsidR="00000000" w:rsidDel="00000000" w:rsidP="00000000" w:rsidRDefault="00000000" w:rsidRPr="00000000" w14:paraId="00000039">
      <w:pPr>
        <w:spacing w:after="0" w:before="0" w:line="240" w:lineRule="auto"/>
        <w:ind w:left="72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Dense matrix multiplication is chosen as a compute-intensive workload due to its high arithmetic intensity and predictable memory access patterns. It effectively highlights differences in scheduling overhead, thread granularity, cache locality, and runtime optimizations such as JIT compilation or vectorization (Abhinav et al., 2020; Morshed &amp; Roy, 2024; Zeng, 2023).</w:t>
      </w:r>
    </w:p>
    <w:p w:rsidR="00000000" w:rsidDel="00000000" w:rsidP="00000000" w:rsidRDefault="00000000" w:rsidRPr="00000000" w14:paraId="0000003A">
      <w:pPr>
        <w:spacing w:after="0" w:before="0" w:line="240" w:lineRule="auto"/>
        <w:ind w:left="72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benchmark multiplies 1024 × 1024 matrices, a problem size large enough to stress CPU arithmetic throughput while minimizing synchronization effects. Prior evaluations of scientific simulation runtimes confirm that compute-heavy kernels are ideal for isolating raw parallel computation efficiency (Diehl et al., 2024).</w:t>
      </w:r>
    </w:p>
    <w:p w:rsidR="00000000" w:rsidDel="00000000" w:rsidP="00000000" w:rsidRDefault="00000000" w:rsidRPr="00000000" w14:paraId="0000003B">
      <w:pPr>
        <w:numPr>
          <w:ilvl w:val="0"/>
          <w:numId w:val="1"/>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Sorting Algorithms (Memory-Intensive Workload)</w:t>
      </w:r>
    </w:p>
    <w:p w:rsidR="00000000" w:rsidDel="00000000" w:rsidP="00000000" w:rsidRDefault="00000000" w:rsidRPr="00000000" w14:paraId="0000003C">
      <w:pPr>
        <w:spacing w:after="0" w:before="0" w:line="240" w:lineRule="auto"/>
        <w:ind w:left="72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sorting is selected as a memory-intensive workload characterized by irregular memory access, shared structures, and frequent data movement. These patterns stress memory allocation behaviour, garbage collection efficiency, and cache performance—dimensions where language runtimes differ substantially (Arora et al., 2021, 2023).</w:t>
      </w:r>
    </w:p>
    <w:p w:rsidR="00000000" w:rsidDel="00000000" w:rsidP="00000000" w:rsidRDefault="00000000" w:rsidRPr="00000000" w14:paraId="0000003D">
      <w:pPr>
        <w:spacing w:after="0" w:before="0" w:line="240" w:lineRule="auto"/>
        <w:ind w:left="72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benchmark sorts 1,000,000 32-bit integers generated using a fixed random seed (123456). Research on Python–Rust hybrid pipelines shows that memory-bound workloads amplify contrasts between managed and unmanaged memory models, making sorting a strong indicator of concurrency efficiency under heavy memory pressure (Mroczek et al., 2025).</w:t>
      </w:r>
    </w:p>
    <w:p w:rsidR="00000000" w:rsidDel="00000000" w:rsidP="00000000" w:rsidRDefault="00000000" w:rsidRPr="00000000" w14:paraId="0000003E">
      <w:pPr>
        <w:numPr>
          <w:ilvl w:val="0"/>
          <w:numId w:val="1"/>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Producer–Consumer Pipeline (Synchronization-Bound Workload)</w:t>
      </w:r>
    </w:p>
    <w:p w:rsidR="00000000" w:rsidDel="00000000" w:rsidP="00000000" w:rsidRDefault="00000000" w:rsidRPr="00000000" w14:paraId="0000003F">
      <w:pPr>
        <w:spacing w:after="0" w:before="0" w:line="240" w:lineRule="auto"/>
        <w:ind w:left="72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producer–consumer model evaluates synchronization overhead, queue performance, and inter-thread communication latency—key features of real-world concurrent systems. The benchmark uses 4 producers, 4 consumers, a queue size of 1024, and 1,000,000 messages, a configuration that generates sustained synchronization and coordination traffic. Prior studies show that synchronization-heavy tasks reveal runtime-level differences such as Go’s goroutine scheduler, Java’s thread pools, Rust’s ownership-based message passing, and Python’s multiprocessing queues (Cheeseman et al., 2023; Menard et al., 2023; Rogowski et al., 2023). Large-scale asynchronous frameworks (HPX, Charm++, Chapel) also demonstrate wide runtime variation under synchronization stress (Diehl et al., 2024).</w:t>
      </w:r>
    </w:p>
    <w:p w:rsidR="00000000" w:rsidDel="00000000" w:rsidP="00000000" w:rsidRDefault="00000000" w:rsidRPr="00000000" w14:paraId="00000040">
      <w:pPr>
        <w:spacing w:after="0" w:before="0" w:line="24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To ensure fair comparison, each workload adheres to the following constraints: (1) Equivalent logic, all implementations follow identical pseudocode, without language-specific optimizations or specialized libraries (Diehl et al., 2024; Arora et al., 2021); (2) Identical input size, fixed across all languages to prevent dataset-induced variation; (3) Equal complexity class for each implementations match canonical complexities (O(n³), O(n log n), bounded queue operations) to ensure theoretical equivalence (Montgomery, 2020; Schryen, 2024); and (4) No external optimization bias (e.g., BLAS, NumPy, Rayon) are excluded to prevent giving unfair advantage to languages with highly optimized ecosystems (Diehl et al., 2024; Mroczek et al., 2025).</w:t>
      </w:r>
      <w:r w:rsidDel="00000000" w:rsidR="00000000" w:rsidRPr="00000000">
        <w:rPr>
          <w:rtl w:val="0"/>
        </w:rPr>
      </w:r>
    </w:p>
    <w:p w:rsidR="00000000" w:rsidDel="00000000" w:rsidP="00000000" w:rsidRDefault="00000000" w:rsidRPr="00000000" w14:paraId="00000041">
      <w:pPr>
        <w:numPr>
          <w:ilvl w:val="1"/>
          <w:numId w:val="3"/>
        </w:numPr>
        <w:spacing w:after="80" w:before="80" w:line="240" w:lineRule="auto"/>
        <w:ind w:left="56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Experimental Environment</w:t>
      </w:r>
    </w:p>
    <w:p w:rsidR="00000000" w:rsidDel="00000000" w:rsidP="00000000" w:rsidRDefault="00000000" w:rsidRPr="00000000" w14:paraId="00000042">
      <w:pPr>
        <w:spacing w:after="80" w:before="8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benchmarking experiments were executed in a controlled and isolated environment to ensure reproducibility and minimize measurement noise, ensuring that observed performance differences reflect language-level concurrency mechanisms rather than system variability (Diehl et al., 2024; Pons et al., 2025). The study follows established best practices for reproducible systems benchmarking, including the use of consistent hardware, fixed operating system configurations, deterministic input generation, and reduced background activity (Arora et al., 2023; Big et al., 2021; Schryen, 2024). All experiments were executed on a single-machine setup using an ASUS Vivobook S14 equipped with the following hardware:</w:t>
      </w:r>
    </w:p>
    <w:p w:rsidR="00000000" w:rsidDel="00000000" w:rsidP="00000000" w:rsidRDefault="00000000" w:rsidRPr="00000000" w14:paraId="00000043">
      <w:pPr>
        <w:spacing w:after="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1. Hardware Specification</w:t>
      </w:r>
    </w:p>
    <w:sdt>
      <w:sdtPr>
        <w:lock w:val="contentLocked"/>
        <w:id w:val="-926034914"/>
        <w:tag w:val="goog_rdk_0"/>
      </w:sdtPr>
      <w:sdtContent>
        <w:tbl>
          <w:tblPr>
            <w:tblStyle w:val="Table2"/>
            <w:tblW w:w="5805.0" w:type="dxa"/>
            <w:jc w:val="center"/>
            <w:tblBorders>
              <w:top w:color="808080" w:space="0" w:sz="12" w:val="single"/>
              <w:bottom w:color="808080" w:space="0" w:sz="12" w:val="single"/>
            </w:tblBorders>
            <w:tblLayout w:type="fixed"/>
            <w:tblLook w:val="0400"/>
          </w:tblPr>
          <w:tblGrid>
            <w:gridCol w:w="1185"/>
            <w:gridCol w:w="4620"/>
            <w:tblGridChange w:id="0">
              <w:tblGrid>
                <w:gridCol w:w="1185"/>
                <w:gridCol w:w="4620"/>
              </w:tblGrid>
            </w:tblGridChange>
          </w:tblGrid>
          <w:tr>
            <w:trPr>
              <w:cantSplit w:val="0"/>
              <w:trHeight w:val="246" w:hRule="atLeast"/>
              <w:tblHeader w:val="0"/>
            </w:trPr>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44">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Component</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45">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Specification</w:t>
                </w:r>
              </w:p>
            </w:tc>
          </w:tr>
          <w:tr>
            <w:trPr>
              <w:cantSplit w:val="0"/>
              <w:trHeight w:val="1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AMD Ryzen 7 8845HS (8 cores / 16 threads, up to 5.1 GHz)</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GPU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Integrated AMD Radeon 780M (RDNA3)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 GB LPDDR5X @ 7467 MHz</w:t>
                </w:r>
              </w:p>
            </w:tc>
          </w:tr>
          <w:tr>
            <w:trPr>
              <w:cantSplit w:val="0"/>
              <w:trHeight w:val="199.482421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512 GB NVMe SSD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1920×1200 @ 60 Hz</w:t>
                </w:r>
              </w:p>
            </w:tc>
          </w:tr>
          <w:tr>
            <w:trPr>
              <w:cantSplit w:val="0"/>
              <w:trHeight w:val="118" w:hRule="atLeast"/>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050">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Power Mode</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051">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Performance Mode (CPU Governor: performance)</w:t>
                </w:r>
              </w:p>
            </w:tc>
          </w:tr>
        </w:tbl>
      </w:sdtContent>
    </w:sdt>
    <w:p w:rsidR="00000000" w:rsidDel="00000000" w:rsidP="00000000" w:rsidRDefault="00000000" w:rsidRPr="00000000" w14:paraId="00000052">
      <w:pPr>
        <w:spacing w:after="0" w:line="240" w:lineRule="auto"/>
        <w:ind w:firstLine="72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spacing w:after="0" w:line="240" w:lineRule="auto"/>
        <w:ind w:firstLine="72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software environment was standardized across all experiments to minimize version-induced bias. The system configuration is shown below:</w:t>
      </w:r>
    </w:p>
    <w:p w:rsidR="00000000" w:rsidDel="00000000" w:rsidP="00000000" w:rsidRDefault="00000000" w:rsidRPr="00000000" w14:paraId="00000054">
      <w:pPr>
        <w:spacing w:after="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2. Software Environment</w:t>
      </w:r>
    </w:p>
    <w:sdt>
      <w:sdtPr>
        <w:lock w:val="contentLocked"/>
        <w:id w:val="1858110570"/>
        <w:tag w:val="goog_rdk_1"/>
      </w:sdtPr>
      <w:sdtContent>
        <w:tbl>
          <w:tblPr>
            <w:tblStyle w:val="Table3"/>
            <w:tblW w:w="6000.0" w:type="dxa"/>
            <w:jc w:val="center"/>
            <w:tblBorders>
              <w:top w:color="808080" w:space="0" w:sz="12" w:val="single"/>
              <w:bottom w:color="808080" w:space="0" w:sz="12" w:val="single"/>
            </w:tblBorders>
            <w:tblLayout w:type="fixed"/>
            <w:tblLook w:val="0400"/>
          </w:tblPr>
          <w:tblGrid>
            <w:gridCol w:w="1860"/>
            <w:gridCol w:w="4140"/>
            <w:tblGridChange w:id="0">
              <w:tblGrid>
                <w:gridCol w:w="1860"/>
                <w:gridCol w:w="4140"/>
              </w:tblGrid>
            </w:tblGridChange>
          </w:tblGrid>
          <w:tr>
            <w:trPr>
              <w:cantSplit w:val="0"/>
              <w:trHeight w:val="246" w:hRule="atLeast"/>
              <w:tblHeader w:val="0"/>
            </w:trPr>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55">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Component</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56">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Version/Description</w:t>
                </w:r>
              </w:p>
            </w:tc>
          </w:tr>
          <w:tr>
            <w:trPr>
              <w:cantSplit w:val="0"/>
              <w:trHeight w:val="1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Operating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Ubuntu 24.04.3 LTS (Linux kernel 6.14.0-33-generic)</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Desktop 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GNOME 46.2 (Wayland)</w:t>
                </w:r>
              </w:p>
            </w:tc>
          </w:tr>
          <w:tr>
            <w:trPr>
              <w:cantSplit w:val="0"/>
              <w:trHeight w:val="118" w:hRule="atLeast"/>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05B">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Tools</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05C">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/usr/bin/time, perf stat -d, htop, sysbench</w:t>
                </w:r>
              </w:p>
            </w:tc>
          </w:tr>
        </w:tbl>
      </w:sdtContent>
    </w:sdt>
    <w:p w:rsidR="00000000" w:rsidDel="00000000" w:rsidP="00000000" w:rsidRDefault="00000000" w:rsidRPr="00000000" w14:paraId="0000005D">
      <w:pPr>
        <w:spacing w:after="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spacing w:after="0"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programming language toolchains and build configurations were:</w:t>
      </w:r>
    </w:p>
    <w:p w:rsidR="00000000" w:rsidDel="00000000" w:rsidP="00000000" w:rsidRDefault="00000000" w:rsidRPr="00000000" w14:paraId="0000005F">
      <w:pPr>
        <w:spacing w:after="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3. Programming Language Build Configurations</w:t>
      </w:r>
    </w:p>
    <w:sdt>
      <w:sdtPr>
        <w:lock w:val="contentLocked"/>
        <w:id w:val="125686570"/>
        <w:tag w:val="goog_rdk_2"/>
      </w:sdtPr>
      <w:sdtContent>
        <w:tbl>
          <w:tblPr>
            <w:tblStyle w:val="Table4"/>
            <w:tblW w:w="6075.0" w:type="dxa"/>
            <w:jc w:val="center"/>
            <w:tblBorders>
              <w:top w:color="808080" w:space="0" w:sz="12" w:val="single"/>
              <w:bottom w:color="808080" w:space="0" w:sz="12" w:val="single"/>
            </w:tblBorders>
            <w:tblLayout w:type="fixed"/>
            <w:tblLook w:val="0400"/>
          </w:tblPr>
          <w:tblGrid>
            <w:gridCol w:w="1057.5"/>
            <w:gridCol w:w="1357.5"/>
            <w:gridCol w:w="3660"/>
            <w:tblGridChange w:id="0">
              <w:tblGrid>
                <w:gridCol w:w="1057.5"/>
                <w:gridCol w:w="1357.5"/>
                <w:gridCol w:w="3660"/>
              </w:tblGrid>
            </w:tblGridChange>
          </w:tblGrid>
          <w:tr>
            <w:trPr>
              <w:cantSplit w:val="0"/>
              <w:trHeight w:val="246" w:hRule="atLeast"/>
              <w:tblHeader w:val="0"/>
            </w:trPr>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60">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Language</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61">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Version</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62">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Build</w:t>
                </w:r>
              </w:p>
            </w:tc>
          </w:tr>
          <w:tr>
            <w:trPr>
              <w:cantSplit w:val="0"/>
              <w:trHeight w:val="1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1.22.x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 build -ldflags "-s -w" -trimpath</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1.81.x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cargo build --release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OpenJDK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JVM flags: -Xms1G -Xmx1G -XX:+UseG1GC</w:t>
                </w:r>
              </w:p>
            </w:tc>
          </w:tr>
          <w:tr>
            <w:trPr>
              <w:cantSplit w:val="0"/>
              <w:trHeight w:val="118" w:hRule="atLeast"/>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06C">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Python</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06D">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CPython 3.12.x</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06E">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Multiprocessing: spawn mode; GIL preserved</w:t>
                </w:r>
              </w:p>
            </w:tc>
          </w:tr>
        </w:tbl>
      </w:sdtContent>
    </w:sdt>
    <w:p w:rsidR="00000000" w:rsidDel="00000000" w:rsidP="00000000" w:rsidRDefault="00000000" w:rsidRPr="00000000" w14:paraId="0000006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spacing w:after="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minimize environmental noise, all experiments were executed offline, with non-essential applications disabled. The CPU frequency governor was locked to performance to eliminate DVFS variability, and identical compiler/runtime versions were used across repeated runs. This isolated environment is consistent with methodologies in high-fidelity comparisons of modern parallel runtimes such as HPX, Chapel, Charm++, Rust async ecosystems, and Python multiprocessing frameworks (Rogowski et al., 2023; Diehl et al., 2024). All experiments were performed natively throughout November 2025 under stable hardware and OS conditions.</w:t>
      </w:r>
    </w:p>
    <w:p w:rsidR="00000000" w:rsidDel="00000000" w:rsidP="00000000" w:rsidRDefault="00000000" w:rsidRPr="00000000" w14:paraId="00000071">
      <w:pPr>
        <w:numPr>
          <w:ilvl w:val="1"/>
          <w:numId w:val="3"/>
        </w:numPr>
        <w:spacing w:after="80" w:before="80" w:line="240" w:lineRule="auto"/>
        <w:ind w:left="567"/>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Implementation Procedure</w:t>
      </w:r>
    </w:p>
    <w:p w:rsidR="00000000" w:rsidDel="00000000" w:rsidP="00000000" w:rsidRDefault="00000000" w:rsidRPr="00000000" w14:paraId="0000007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implementation procedure was designed to ensure functional equivalence across languages, controlled execution conditions, and reproducible performance measurement. All benchmarks follow a chronological execution pipeline consistent with modern cross-language benchmarking methodology (Arora et al., 2023; Schryen, 2024). No third-party optimized libraries (e.g., BLAS, NumPy, Rayon) or language-specific accelerators were used; each implementation relied solely on the standard concurrency constructs of Go, Rust, Java, and Python to maintain fairness (Diehl et al., 2024; Mroczek et al., 2025).</w:t>
      </w:r>
    </w:p>
    <w:p w:rsidR="00000000" w:rsidDel="00000000" w:rsidP="00000000" w:rsidRDefault="00000000" w:rsidRPr="00000000" w14:paraId="00000073">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programs were executed using stable release or standard runtime configurations. Go and Rust implementations were compiled as release binaries; Java benchmarks were executed on OpenJDK 21 with a brief warm-up phase to stabilize JIT behavior; and Python workloads were executed using CPython 3.12 with multiprocessing (spawn mode) to bypass the GIL. No custom optimization flags or external acceleration mechanisms were applied, ensuring comparable runtime conditions across languages (Arora et al., 2023; Diehl et al., 2024).</w:t>
      </w:r>
    </w:p>
    <w:p w:rsidR="00000000" w:rsidDel="00000000" w:rsidP="00000000" w:rsidRDefault="00000000" w:rsidRPr="00000000" w14:paraId="00000074">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benchmark pipeline consists of five stages applied consistently across all configurations:</w:t>
      </w:r>
    </w:p>
    <w:p w:rsidR="00000000" w:rsidDel="00000000" w:rsidP="00000000" w:rsidRDefault="00000000" w:rsidRPr="00000000" w14:paraId="00000075">
      <w:pPr>
        <w:numPr>
          <w:ilvl w:val="0"/>
          <w:numId w:val="5"/>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Initialization: Input data are generated or loaded, worker threads or processes are initialized, and system state (CPU governor, background services) is validated.</w:t>
      </w:r>
    </w:p>
    <w:p w:rsidR="00000000" w:rsidDel="00000000" w:rsidP="00000000" w:rsidRDefault="00000000" w:rsidRPr="00000000" w14:paraId="00000076">
      <w:pPr>
        <w:numPr>
          <w:ilvl w:val="0"/>
          <w:numId w:val="5"/>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Warm-up: For JIT-based runtimes, a short warm-up is executed until execution time stabilizes, reducing transient behavior.</w:t>
      </w:r>
    </w:p>
    <w:p w:rsidR="00000000" w:rsidDel="00000000" w:rsidP="00000000" w:rsidRDefault="00000000" w:rsidRPr="00000000" w14:paraId="00000077">
      <w:pPr>
        <w:numPr>
          <w:ilvl w:val="0"/>
          <w:numId w:val="5"/>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Benchmark Execution: Each configuration is run once (Phase 1) or five times (Phase 2), while wall-clock time, CPU utilization, memory usage, and hardware counters (`perf stat -d`) are recorded.</w:t>
      </w:r>
    </w:p>
    <w:p w:rsidR="00000000" w:rsidDel="00000000" w:rsidP="00000000" w:rsidRDefault="00000000" w:rsidRPr="00000000" w14:paraId="00000078">
      <w:pPr>
        <w:numPr>
          <w:ilvl w:val="0"/>
          <w:numId w:val="5"/>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Logging: Structured logs are written containing workload identifiers, language, worker count, timestamps, and metric values.</w:t>
      </w:r>
    </w:p>
    <w:p w:rsidR="00000000" w:rsidDel="00000000" w:rsidP="00000000" w:rsidRDefault="00000000" w:rsidRPr="00000000" w14:paraId="00000079">
      <w:pPr>
        <w:numPr>
          <w:ilvl w:val="0"/>
          <w:numId w:val="5"/>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Cleanup: Worker processes are terminated and the environment is reset between runs to minimize cross-run interference.</w:t>
      </w:r>
    </w:p>
    <w:p w:rsidR="00000000" w:rsidDel="00000000" w:rsidP="00000000" w:rsidRDefault="00000000" w:rsidRPr="00000000" w14:paraId="0000007A">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limit total runtime while maintaining statistical rigor, this study adopts an adaptive two-phase benchmarking design, widely used in contemporary HPC and systems research (Diehl et al., 2024; Menard et al., 2023).</w:t>
      </w:r>
    </w:p>
    <w:p w:rsidR="00000000" w:rsidDel="00000000" w:rsidP="00000000" w:rsidRDefault="00000000" w:rsidRPr="00000000" w14:paraId="0000007B">
      <w:pPr>
        <w:numPr>
          <w:ilvl w:val="0"/>
          <w:numId w:val="4"/>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Phase 1: All combinations of </w:t>
      </w:r>
      <w:r w:rsidDel="00000000" w:rsidR="00000000" w:rsidRPr="00000000">
        <w:rPr>
          <w:rFonts w:ascii="Times New Roman" w:cs="Times New Roman" w:eastAsia="Times New Roman" w:hAnsi="Times New Roman"/>
          <w:i w:val="1"/>
          <w:iCs w:val="1"/>
          <w:sz w:val="20"/>
          <w:szCs w:val="20"/>
          <w:rtl w:val="0"/>
        </w:rPr>
        <w:t xml:space="preserve">language × workload × thread level</w:t>
      </w:r>
      <w:r w:rsidDel="00000000" w:rsidR="00000000" w:rsidRPr="00000000">
        <w:rPr>
          <w:rFonts w:ascii="Times New Roman" w:cs="Times New Roman" w:eastAsia="Times New Roman" w:hAnsi="Times New Roman"/>
          <w:sz w:val="20"/>
          <w:szCs w:val="20"/>
          <w:rtl w:val="0"/>
        </w:rPr>
        <w:t xml:space="preserve"> were executed once using thread counts</w:t>
      </w:r>
    </w:p>
    <w:p w:rsidR="00000000" w:rsidDel="00000000" w:rsidP="00000000" w:rsidRDefault="00000000" w:rsidRPr="00000000" w14:paraId="0000007C">
      <w:pPr>
        <w:spacing w:after="0" w:before="0" w:line="240" w:lineRule="auto"/>
        <w:ind w:left="1440" w:firstLine="0"/>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p</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1,2,4,8,16</m:t>
        </m:r>
      </m:oMath>
      <w:r w:rsidDel="00000000" w:rsidR="00000000" w:rsidRPr="00000000">
        <w:rPr>
          <w:rFonts w:ascii="Times New Roman" w:cs="Times New Roman" w:eastAsia="Times New Roman" w:hAnsi="Times New Roman"/>
          <w:sz w:val="20"/>
          <w:szCs w:val="20"/>
          <w:rtl w:val="0"/>
        </w:rPr>
        <w:tab/>
        <w:tab/>
        <w:tab/>
        <w:tab/>
        <w:tab/>
        <w:t xml:space="preserve">(1)</w:t>
      </w:r>
    </w:p>
    <w:p w:rsidR="00000000" w:rsidDel="00000000" w:rsidP="00000000" w:rsidRDefault="00000000" w:rsidRPr="00000000" w14:paraId="0000007D">
      <w:pPr>
        <w:numPr>
          <w:ilvl w:val="0"/>
          <w:numId w:val="4"/>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Phase 2: For each workload, two representative configurations were selected using an objective criterion: (i) the sequential baseline (</w:t>
      </w:r>
      <m:oMath>
        <m:r>
          <w:rPr>
            <w:rFonts w:ascii="Times New Roman" w:cs="Times New Roman" w:eastAsia="Times New Roman" w:hAnsi="Times New Roman"/>
            <w:sz w:val="20"/>
            <w:szCs w:val="20"/>
          </w:rPr>
          <m:t xml:space="preserve">p=1</m:t>
        </m:r>
      </m:oMath>
      <w:r w:rsidDel="00000000" w:rsidR="00000000" w:rsidRPr="00000000">
        <w:rPr>
          <w:rFonts w:ascii="Times New Roman" w:cs="Times New Roman" w:eastAsia="Times New Roman" w:hAnsi="Times New Roman"/>
          <w:sz w:val="20"/>
          <w:szCs w:val="20"/>
          <w:rtl w:val="0"/>
        </w:rPr>
        <w:t xml:space="preserve">), and (ii) the highest parallel configuration that exhibited meaningful improvement or divergence in Phase 1.</w:t>
      </w:r>
    </w:p>
    <w:p w:rsidR="00000000" w:rsidDel="00000000" w:rsidP="00000000" w:rsidRDefault="00000000" w:rsidRPr="00000000" w14:paraId="0000007E">
      <w:pPr>
        <w:spacing w:after="0" w:line="24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selected configurations were executed five independent repetitions. Outliers were removed using the interquartile-range (IQR) rule, after which the median execution time was used as the primary performance metric; mean, standard deviation, and 95% confidence intervals were also computed. The total number of benchmark executions in the adaptive design is:</w:t>
      </w:r>
    </w:p>
    <w:p w:rsidR="00000000" w:rsidDel="00000000" w:rsidP="00000000" w:rsidRDefault="00000000" w:rsidRPr="00000000" w14:paraId="0000007F">
      <w:pPr>
        <w:spacing w:after="0" w:line="240" w:lineRule="auto"/>
        <w:ind w:left="1440" w:firstLine="0"/>
        <w:jc w:val="center"/>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N</m:t>
            </m:r>
          </m:e>
          <m:sub>
            <m:r>
              <w:rPr>
                <w:rFonts w:ascii="Times New Roman" w:cs="Times New Roman" w:eastAsia="Times New Roman" w:hAnsi="Times New Roman"/>
                <w:sz w:val="20"/>
                <w:szCs w:val="20"/>
              </w:rPr>
              <m:t xml:space="preserve">total</m:t>
            </m:r>
          </m:sub>
        </m:sSub>
        <m:r>
          <w:rPr>
            <w:rFonts w:ascii="Times New Roman" w:cs="Times New Roman" w:eastAsia="Times New Roman" w:hAnsi="Times New Roman"/>
            <w:sz w:val="20"/>
            <w:szCs w:val="20"/>
          </w:rPr>
          <m:t xml:space="preserve">=L</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W</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m:t>
        </m:r>
        <m:d>
          <m:dPr>
            <m:begChr m:val="|"/>
            <m:endChr m:val="|"/>
            <m:ctrlPr>
              <w:rPr>
                <w:rFonts w:ascii="Times New Roman" w:cs="Times New Roman" w:eastAsia="Times New Roman" w:hAnsi="Times New Roman"/>
                <w:sz w:val="20"/>
                <w:szCs w:val="20"/>
              </w:rPr>
            </m:ctrlPr>
          </m:dPr>
          <m:e>
            <m:r>
              <w:rPr>
                <w:rFonts w:ascii="Times New Roman" w:cs="Times New Roman" w:eastAsia="Times New Roman" w:hAnsi="Times New Roman"/>
                <w:sz w:val="20"/>
                <w:szCs w:val="20"/>
              </w:rPr>
              <m:t xml:space="preserve">P</m:t>
            </m:r>
          </m:e>
        </m:d>
        <m:r>
          <w:rPr>
            <w:rFonts w:ascii="Times New Roman" w:cs="Times New Roman" w:eastAsia="Times New Roman" w:hAnsi="Times New Roman"/>
            <w:sz w:val="20"/>
            <w:szCs w:val="20"/>
          </w:rPr>
          <m:t xml:space="preserve">+R</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Q)</m:t>
        </m:r>
      </m:oMath>
      <w:r w:rsidDel="00000000" w:rsidR="00000000" w:rsidRPr="00000000">
        <w:rPr>
          <w:rFonts w:ascii="Times New Roman" w:cs="Times New Roman" w:eastAsia="Times New Roman" w:hAnsi="Times New Roman"/>
          <w:sz w:val="20"/>
          <w:szCs w:val="20"/>
          <w:rtl w:val="0"/>
        </w:rPr>
        <w:tab/>
        <w:tab/>
        <w:t xml:space="preserve">(2)</w:t>
      </w:r>
    </w:p>
    <w:p w:rsidR="00000000" w:rsidDel="00000000" w:rsidP="00000000" w:rsidRDefault="00000000" w:rsidRPr="00000000" w14:paraId="00000080">
      <w:pPr>
        <w:spacing w:after="0" w:line="240" w:lineRule="auto"/>
        <w:ind w:left="144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w:t>
      </w:r>
      <m:oMath>
        <m:r>
          <w:rPr>
            <w:rFonts w:ascii="Times New Roman" w:cs="Times New Roman" w:eastAsia="Times New Roman" w:hAnsi="Times New Roman"/>
            <w:sz w:val="20"/>
            <w:szCs w:val="20"/>
          </w:rPr>
          <m:t xml:space="preserve">L=4</m:t>
        </m:r>
      </m:oMath>
      <w:r w:rsidDel="00000000" w:rsidR="00000000" w:rsidRPr="00000000">
        <w:rPr>
          <w:rFonts w:ascii="Times New Roman" w:cs="Times New Roman" w:eastAsia="Times New Roman" w:hAnsi="Times New Roman"/>
          <w:sz w:val="20"/>
          <w:szCs w:val="20"/>
          <w:rtl w:val="0"/>
        </w:rPr>
        <w:t xml:space="preserve">) languages, (</w:t>
      </w:r>
      <m:oMath>
        <m:r>
          <w:rPr>
            <w:rFonts w:ascii="Times New Roman" w:cs="Times New Roman" w:eastAsia="Times New Roman" w:hAnsi="Times New Roman"/>
            <w:sz w:val="20"/>
            <w:szCs w:val="20"/>
          </w:rPr>
          <m:t xml:space="preserve">W=3</m:t>
        </m:r>
      </m:oMath>
      <w:r w:rsidDel="00000000" w:rsidR="00000000" w:rsidRPr="00000000">
        <w:rPr>
          <w:rFonts w:ascii="Times New Roman" w:cs="Times New Roman" w:eastAsia="Times New Roman" w:hAnsi="Times New Roman"/>
          <w:sz w:val="20"/>
          <w:szCs w:val="20"/>
          <w:rtl w:val="0"/>
        </w:rPr>
        <w:t xml:space="preserve">) workloads, (|P| = 5) scanned thread levels, (R = 5) repetitions, and (Q = 2) selected deep-replication levels. Thus,</w:t>
      </w:r>
    </w:p>
    <w:p w:rsidR="00000000" w:rsidDel="00000000" w:rsidP="00000000" w:rsidRDefault="00000000" w:rsidRPr="00000000" w14:paraId="00000081">
      <w:pPr>
        <w:spacing w:after="0" w:before="200" w:line="240" w:lineRule="auto"/>
        <w:ind w:left="1440" w:firstLine="0"/>
        <w:jc w:val="center"/>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N</m:t>
            </m:r>
          </m:e>
          <m:sub>
            <m:r>
              <w:rPr>
                <w:rFonts w:ascii="Times New Roman" w:cs="Times New Roman" w:eastAsia="Times New Roman" w:hAnsi="Times New Roman"/>
                <w:sz w:val="20"/>
                <w:szCs w:val="20"/>
              </w:rPr>
              <m:t xml:space="preserve">total</m:t>
            </m:r>
          </m:sub>
        </m:sSub>
        <m:r>
          <w:rPr>
            <w:rFonts w:ascii="Times New Roman" w:cs="Times New Roman" w:eastAsia="Times New Roman" w:hAnsi="Times New Roman"/>
            <w:sz w:val="20"/>
            <w:szCs w:val="20"/>
          </w:rPr>
          <m:t xml:space="preserve">=4</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3</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(5+5</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2)=180</m:t>
        </m:r>
      </m:oMath>
      <w:r w:rsidDel="00000000" w:rsidR="00000000" w:rsidRPr="00000000">
        <w:rPr>
          <w:rFonts w:ascii="Times New Roman" w:cs="Times New Roman" w:eastAsia="Times New Roman" w:hAnsi="Times New Roman"/>
          <w:sz w:val="20"/>
          <w:szCs w:val="20"/>
          <w:rtl w:val="0"/>
        </w:rPr>
        <w:tab/>
        <w:tab/>
        <w:t xml:space="preserve">(3)</w:t>
      </w:r>
    </w:p>
    <w:p w:rsidR="00000000" w:rsidDel="00000000" w:rsidP="00000000" w:rsidRDefault="00000000" w:rsidRPr="00000000" w14:paraId="00000082">
      <w:pPr>
        <w:numPr>
          <w:ilvl w:val="1"/>
          <w:numId w:val="3"/>
        </w:numPr>
        <w:spacing w:after="80" w:before="80" w:line="240" w:lineRule="auto"/>
        <w:ind w:left="567"/>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Data Collection</w:t>
      </w:r>
    </w:p>
    <w:p w:rsidR="00000000" w:rsidDel="00000000" w:rsidP="00000000" w:rsidRDefault="00000000" w:rsidRPr="00000000" w14:paraId="0000008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collection process was designed to obtain accurate and repeatable measurements across all benchmark configurations under controlled system conditions. Performance metrics were recorded using low-overhead Linux utilities: [/usr/bin/time -v] was used to capture wall-clock execution time, CPU usage, and peak memory footprint, while [perf stat -d] collected hardware-level counters including cycles, instructions, cache-miss ratios, and context-switch events. Both tools were invoked in a coordinated manner to ensure consistent sampling, and the overhead introduced by [perf] was negligible relative to workload execution.</w:t>
      </w:r>
    </w:p>
    <w:p w:rsidR="00000000" w:rsidDel="00000000" w:rsidP="00000000" w:rsidRDefault="00000000" w:rsidRPr="00000000" w14:paraId="00000084">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validation and warm-up procedures followed the execution protocol described in Section 3.4. For each </w:t>
      </w:r>
      <w:r w:rsidDel="00000000" w:rsidR="00000000" w:rsidRPr="00000000">
        <w:rPr>
          <w:rFonts w:ascii="Times New Roman" w:cs="Times New Roman" w:eastAsia="Times New Roman" w:hAnsi="Times New Roman"/>
          <w:i w:val="1"/>
          <w:iCs w:val="1"/>
          <w:sz w:val="20"/>
          <w:szCs w:val="20"/>
          <w:rtl w:val="0"/>
        </w:rPr>
        <w:t xml:space="preserve">language × workload × thread-count</w:t>
      </w:r>
      <w:r w:rsidDel="00000000" w:rsidR="00000000" w:rsidRPr="00000000">
        <w:rPr>
          <w:rFonts w:ascii="Times New Roman" w:cs="Times New Roman" w:eastAsia="Times New Roman" w:hAnsi="Times New Roman"/>
          <w:sz w:val="20"/>
          <w:szCs w:val="20"/>
          <w:rtl w:val="0"/>
        </w:rPr>
        <w:t xml:space="preserve"> configuration, benchmarks were executed under controlled conditions and all metric values were automatically captured into structured logs containing timestamps, workload identifiers, worker counts, and execution metadata.</w:t>
      </w:r>
    </w:p>
    <w:p w:rsidR="00000000" w:rsidDel="00000000" w:rsidP="00000000" w:rsidRDefault="00000000" w:rsidRPr="00000000" w14:paraId="00000085">
      <w:pPr>
        <w:spacing w:after="0" w:before="0" w:lin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raw measurements were consolidated into structured tabular files (CSV/Excel) to facilitate transparency, manual inspection, and reviewer verification. These datasets contained the repeated observations for the deep-replication configurations, along with CPU and memory metrics and aggregated statistics such as median, mean, and standard deviation. The structured data were then imported into Python for automated post-processing using NumPy and Pandas, enabling computation of derived metrics such as speedup and efficiency, statistical validation, and the production of publication-quality plots via Matplotlib. This hybrid workflow—structured storage paired with automated analysis—reflects contemporary practice in empirical evaluations of parallel programming languages (Pons et al., 2025; Diehl et al., 2024).</w:t>
      </w:r>
    </w:p>
    <w:p w:rsidR="00000000" w:rsidDel="00000000" w:rsidP="00000000" w:rsidRDefault="00000000" w:rsidRPr="00000000" w14:paraId="00000086">
      <w:pPr>
        <w:numPr>
          <w:ilvl w:val="1"/>
          <w:numId w:val="3"/>
        </w:numPr>
        <w:spacing w:after="80" w:before="80" w:line="240" w:lineRule="auto"/>
        <w:ind w:left="567"/>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Evaluation Metrics</w:t>
      </w:r>
    </w:p>
    <w:p w:rsidR="00000000" w:rsidDel="00000000" w:rsidP="00000000" w:rsidRDefault="00000000" w:rsidRPr="00000000" w14:paraId="00000087">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evaluates the performance of concurrent and parallel workloads using a set of well-established quantitative metrics that capture runtime efficiency, scalability, and resource utilization. The selected metrics follow theoretical foundations from classical and contemporary models of parallel performance, including Amdahl’s law, Gustafson’s scaled-speedup formulation, and modern analytical frameworks for computational efficiency (Amdahl, 1967; Gustafson, 1988; Poolla &amp; Saxena, 2023; Schryen, 2024). Applying these metrics uniformly across all workloads and programming languages ensures objective and comparable evaluation.  The primary performance metric is execution time (wall-clock time), defined as:</w:t>
      </w:r>
    </w:p>
    <w:p w:rsidR="00000000" w:rsidDel="00000000" w:rsidP="00000000" w:rsidRDefault="00000000" w:rsidRPr="00000000" w14:paraId="00000088">
      <w:pPr>
        <w:spacing w:after="0" w:before="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T=</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end</m:t>
            </m:r>
          </m:sub>
        </m:s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start</m:t>
            </m:r>
          </m:sub>
        </m:sSub>
      </m:oMath>
      <w:r w:rsidDel="00000000" w:rsidR="00000000" w:rsidRPr="00000000">
        <w:rPr>
          <w:rFonts w:ascii="Times New Roman" w:cs="Times New Roman" w:eastAsia="Times New Roman" w:hAnsi="Times New Roman"/>
          <w:sz w:val="20"/>
          <w:szCs w:val="20"/>
          <w:rtl w:val="0"/>
        </w:rPr>
        <w:tab/>
        <w:tab/>
        <w:tab/>
        <w:tab/>
        <w:t xml:space="preserve">(4)</w:t>
      </w:r>
    </w:p>
    <w:p w:rsidR="00000000" w:rsidDel="00000000" w:rsidP="00000000" w:rsidRDefault="00000000" w:rsidRPr="00000000" w14:paraId="00000089">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Execution time captures both computational work and runtime overhead such as scheduling, thread creation, synchronization, and garbage collection. It remains the most direct indicator of overall efficiency in cross-language comparisons (Abhinav et al., 2020; Diehl et al., 2024). All metrics derived from execution time—including speedup and efficiency—were computed using the median values obtained from repeated runs in the deep-replication phase, ensuring robustness against runtime jitter and OS-level noise. Parallel scalability was assessed using speedup and parallel efficiency, defined as:</w:t>
      </w:r>
    </w:p>
    <w:p w:rsidR="00000000" w:rsidDel="00000000" w:rsidP="00000000" w:rsidRDefault="00000000" w:rsidRPr="00000000" w14:paraId="0000008A">
      <w:pPr>
        <w:spacing w:after="0" w:line="240" w:lineRule="auto"/>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S(p)=</m:t>
        </m:r>
        <m:f>
          <m:fPr>
            <m:ctrlPr>
              <w:rPr>
                <w:rFonts w:ascii="Times New Roman" w:cs="Times New Roman" w:eastAsia="Times New Roman" w:hAnsi="Times New Roman"/>
                <w:sz w:val="20"/>
                <w:szCs w:val="20"/>
              </w:rPr>
            </m:ctrlPr>
          </m:fPr>
          <m:num>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1</m:t>
                </m:r>
              </m:sub>
            </m:sSub>
          </m:num>
          <m:den>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p</m:t>
                </m:r>
              </m:sub>
            </m:sSub>
          </m:den>
        </m:f>
        <m:r>
          <w:rPr>
            <w:rFonts w:ascii="Times New Roman" w:cs="Times New Roman" w:eastAsia="Times New Roman" w:hAnsi="Times New Roman"/>
            <w:sz w:val="20"/>
            <w:szCs w:val="20"/>
          </w:rPr>
          <m:t xml:space="preserve"> ; E(p)=</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S(p)</m:t>
            </m:r>
          </m:num>
          <m:den>
            <m:r>
              <w:rPr>
                <w:rFonts w:ascii="Times New Roman" w:cs="Times New Roman" w:eastAsia="Times New Roman" w:hAnsi="Times New Roman"/>
                <w:sz w:val="20"/>
                <w:szCs w:val="20"/>
              </w:rPr>
              <m:t xml:space="preserve">p</m:t>
            </m:r>
          </m:den>
        </m:f>
      </m:oMath>
      <w:r w:rsidDel="00000000" w:rsidR="00000000" w:rsidRPr="00000000">
        <w:rPr>
          <w:rFonts w:ascii="Times New Roman" w:cs="Times New Roman" w:eastAsia="Times New Roman" w:hAnsi="Times New Roman"/>
          <w:sz w:val="20"/>
          <w:szCs w:val="20"/>
          <w:rtl w:val="0"/>
        </w:rPr>
        <w:tab/>
        <w:tab/>
        <w:t xml:space="preserve">(5)</w:t>
      </w:r>
    </w:p>
    <w:p w:rsidR="00000000" w:rsidDel="00000000" w:rsidP="00000000" w:rsidRDefault="00000000" w:rsidRPr="00000000" w14:paraId="0000008B">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1</m:t>
            </m:r>
          </m:sub>
        </m:sSub>
      </m:oMath>
      <w:r w:rsidDel="00000000" w:rsidR="00000000" w:rsidRPr="00000000">
        <w:rPr>
          <w:rFonts w:ascii="Times New Roman" w:cs="Times New Roman" w:eastAsia="Times New Roman" w:hAnsi="Times New Roman"/>
          <w:sz w:val="20"/>
          <w:szCs w:val="20"/>
          <w:rtl w:val="0"/>
        </w:rPr>
        <w:t xml:space="preserve">) denotes the execution time using a single worker and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p</m:t>
            </m:r>
          </m:sub>
        </m:sSub>
      </m:oMath>
      <w:r w:rsidDel="00000000" w:rsidR="00000000" w:rsidRPr="00000000">
        <w:rPr>
          <w:rFonts w:ascii="Times New Roman" w:cs="Times New Roman" w:eastAsia="Times New Roman" w:hAnsi="Times New Roman"/>
          <w:sz w:val="20"/>
          <w:szCs w:val="20"/>
          <w:rtl w:val="0"/>
        </w:rPr>
        <w:t xml:space="preserve">) the execution time using (</w:t>
      </w:r>
      <m:oMath>
        <m:r>
          <w:rPr>
            <w:rFonts w:ascii="Times New Roman" w:cs="Times New Roman" w:eastAsia="Times New Roman" w:hAnsi="Times New Roman"/>
            <w:sz w:val="20"/>
            <w:szCs w:val="20"/>
          </w:rPr>
          <m:t xml:space="preserve">p</m:t>
        </m:r>
      </m:oMath>
      <w:r w:rsidDel="00000000" w:rsidR="00000000" w:rsidRPr="00000000">
        <w:rPr>
          <w:rFonts w:ascii="Times New Roman" w:cs="Times New Roman" w:eastAsia="Times New Roman" w:hAnsi="Times New Roman"/>
          <w:sz w:val="20"/>
          <w:szCs w:val="20"/>
          <w:rtl w:val="0"/>
        </w:rPr>
        <w:t xml:space="preserve">) workers. In the adaptive design, (</w:t>
      </w:r>
      <m:oMath>
        <m:r>
          <w:rPr>
            <w:rFonts w:ascii="Times New Roman" w:cs="Times New Roman" w:eastAsia="Times New Roman" w:hAnsi="Times New Roman"/>
            <w:sz w:val="20"/>
            <w:szCs w:val="20"/>
          </w:rPr>
          <m:t xml:space="preserve">p</m:t>
        </m:r>
      </m:oMath>
      <w:r w:rsidDel="00000000" w:rsidR="00000000" w:rsidRPr="00000000">
        <w:rPr>
          <w:rFonts w:ascii="Times New Roman" w:cs="Times New Roman" w:eastAsia="Times New Roman" w:hAnsi="Times New Roman"/>
          <w:sz w:val="20"/>
          <w:szCs w:val="20"/>
          <w:rtl w:val="0"/>
        </w:rPr>
        <w:t xml:space="preserve">) corresponds to the highest thread level selected for deep replication in Phase 2, based on scaling trends observed during Phase 1. Speedup reflects performance gains from parallel execution, while efficiency measures how closely a system approaches ideal linear scaling. These metrics are grounded in the constraints of Amdahl’s serial fraction and Gustafson’s scaled-speedup formulation, both of which shape the upper limits of achievable parallel performance (Amdahl, 1967; Gustafson, 1988).</w:t>
      </w:r>
    </w:p>
    <w:p w:rsidR="00000000" w:rsidDel="00000000" w:rsidP="00000000" w:rsidRDefault="00000000" w:rsidRPr="00000000" w14:paraId="0000008C">
      <w:pPr>
        <w:spacing w:after="0" w:before="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CPU utilization provides insight into how effectively each workload leverages available processing resources. Hardware counters collected via [perf]—including total instructions, cycles per instruction (CPI), cache-miss rates, and context-switch counts—highlight whether performance is limited by computation, memory stalls, or synchronization overhead (Rogowski et al., 2023). Memory footprint, measured as maximum resident set size (RSS), captures runtime-specific overhead such as Java’s garbage collection, Rust’s ownership-based allocation patterns, Go’s lightweight stack model, and Python’s process-based parallelism (Arora et al., 2021, 2023; Mroczek et al., 2025).</w:t>
      </w:r>
    </w:p>
    <w:p w:rsidR="00000000" w:rsidDel="00000000" w:rsidP="00000000" w:rsidRDefault="00000000" w:rsidRPr="00000000" w14:paraId="0000008D">
      <w:pPr>
        <w:spacing w:after="0" w:before="0" w:line="240" w:lineRule="auto"/>
        <w:ind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To assess stability across repeated runs, variability was quantified using standard deviation, variance, and the coefficient of variation (CV). Stability is particularly relevant for JIT-compiled or garbage-collected environments—such as Java—where warm-up effects and dynamic memory management can introduce noise (Arora et al., 2021; Menard et al., 2023). Low variability indicates consistent scheduling and predictable runtime behavior, whereas high variability often reflects interference from runtime heuristics or OS scheduling. Together, execution time, speedup, efficiency, CPU utilization, memory footprint, and variability provide a comprehensive multidimensional characterization of concurrency performance across Go, Rust, Java, and Python. This metric suite aligns with best practices in empirical evaluation of parallel programming languages (Diehl et al., 2024; Schryen, 2024).</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Results and Discussion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section involves describing the results obtained from the research and drawing similarities and differences between the research and previous others from methods, data, and results. However, describe whether the problems have been researched successfully according to the objectives using the proposed methods. This should involve the description of the analysis conducted, cause and benchmark of success/failure, and the unfinished part of the research followed with the steps to be taken as follow up process.</w:t>
      </w:r>
      <w:r w:rsidDel="00000000" w:rsidR="00000000" w:rsidRPr="00000000">
        <w:rPr>
          <w:rtl w:val="0"/>
        </w:rPr>
      </w:r>
    </w:p>
    <w:p w:rsidR="00000000" w:rsidDel="00000000" w:rsidP="00000000" w:rsidRDefault="00000000" w:rsidRPr="00000000" w14:paraId="0000009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1. Total datasets/class [4] [Heading of Table]</w:t>
      </w:r>
    </w:p>
    <w:tbl>
      <w:tblPr>
        <w:tblStyle w:val="Table5"/>
        <w:tblW w:w="5219.000000000001" w:type="dxa"/>
        <w:jc w:val="center"/>
        <w:tblBorders>
          <w:top w:color="808080" w:space="0" w:sz="12" w:val="single"/>
          <w:bottom w:color="808080" w:space="0" w:sz="12" w:val="single"/>
        </w:tblBorders>
        <w:tblLayout w:type="fixed"/>
        <w:tblLook w:val="0400"/>
      </w:tblPr>
      <w:tblGrid>
        <w:gridCol w:w="1624"/>
        <w:gridCol w:w="1842"/>
        <w:gridCol w:w="1753"/>
        <w:tblGridChange w:id="0">
          <w:tblGrid>
            <w:gridCol w:w="1624"/>
            <w:gridCol w:w="1842"/>
            <w:gridCol w:w="1753"/>
          </w:tblGrid>
        </w:tblGridChange>
      </w:tblGrid>
      <w:tr>
        <w:trPr>
          <w:cantSplit w:val="0"/>
          <w:trHeight w:val="246" w:hRule="atLeast"/>
          <w:tblHeader w:val="0"/>
        </w:trPr>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91">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Class</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92">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Training Data</w:t>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93">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 Data</w:t>
            </w:r>
          </w:p>
        </w:tc>
      </w:tr>
      <w:tr>
        <w:trPr>
          <w:cantSplit w:val="0"/>
          <w:trHeight w:val="1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 Images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 Images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Corrosion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58 Images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 Images</w:t>
            </w:r>
          </w:p>
        </w:tc>
      </w:tr>
      <w:tr>
        <w:trPr>
          <w:cantSplit w:val="0"/>
          <w:trHeight w:val="118"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A">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Amount total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B">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286 images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C">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 images</w:t>
            </w:r>
          </w:p>
        </w:tc>
      </w:tr>
    </w:tbl>
    <w:p w:rsidR="00000000" w:rsidDel="00000000" w:rsidP="00000000" w:rsidRDefault="00000000" w:rsidRPr="00000000" w14:paraId="0000009D">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E">
      <w:pPr>
        <w:spacing w:after="0" w:line="240" w:lineRule="auto"/>
        <w:ind w:firstLine="56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necessary, the illustration should be added and more details may be included by using figures or tables. Moreover, each figure, table, and equations must be numbered and explained in the article. The format for a Table is as shown in Table 1 above while the format for the Figure is shown in Figure 1 and function/equation/formula represented in Equation 1 and must be written through the use of the equation. Furthermore, the tables and equations should not be presented as an image to make it editable for the editor when reviewing the size and layout of the article. Any table obtained from another source must be re-made and cited accordingly. Moreover, the tables and figures should not be allocated to a separate page or column but embedded in the content of the article. </w:t>
      </w:r>
    </w:p>
    <w:p w:rsidR="00000000" w:rsidDel="00000000" w:rsidP="00000000" w:rsidRDefault="00000000" w:rsidRPr="00000000" w14:paraId="0000009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 of Equation 1,</w:t>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20"/>
          <w:szCs w:val="20"/>
        </w:rPr>
      </w:pPr>
      <w:sdt>
        <w:sdtPr>
          <w:id w:val="326061573"/>
          <w:tag w:val="goog_rdk_3"/>
        </w:sdtPr>
        <w:sdtContent>
          <w:r w:rsidDel="00000000" w:rsidR="00000000" w:rsidRPr="00000000">
            <w:rPr>
              <w:rFonts w:ascii="Gungsuh" w:cs="Gungsuh" w:eastAsia="Gungsuh" w:hAnsi="Gungsuh"/>
              <w:sz w:val="20"/>
              <w:szCs w:val="20"/>
              <w:rtl w:val="0"/>
            </w:rPr>
            <w:t xml:space="preserve">D(x,y) = √</w:t>
          </w:r>
        </w:sdtContent>
      </w:sdt>
      <m:oMath>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i=1</m:t>
            </m:r>
          </m:sub>
          <m:sup>
            <m:r>
              <w:rPr>
                <w:rFonts w:ascii="Cambria Math" w:cs="Cambria Math" w:eastAsia="Cambria Math" w:hAnsi="Cambria Math"/>
                <w:sz w:val="20"/>
                <w:szCs w:val="20"/>
              </w:rPr>
              <m:t xml:space="preserve">n</m:t>
            </m:r>
          </m:sup>
        </m:nary>
        <m:r>
          <w:rPr>
            <w:rFonts w:ascii="Cambria Math" w:cs="Cambria Math" w:eastAsia="Cambria Math" w:hAnsi="Cambria Math"/>
            <w:sz w:val="20"/>
            <w:szCs w:val="20"/>
          </w:rPr>
          <m:t xml:space="preserve">f(</m:t>
        </m:r>
        <m:d>
          <m:dPr>
            <m:begChr m:val="("/>
            <m:endChr m:val=")"/>
            <m:ctrlPr>
              <w:rPr>
                <w:rFonts w:ascii="Cambria Math" w:cs="Cambria Math" w:eastAsia="Cambria Math" w:hAnsi="Cambria Math"/>
                <w:sz w:val="20"/>
                <w:szCs w:val="20"/>
              </w:rPr>
            </m:ctrlPr>
          </m:dPr>
          <m:e>
            <m:r>
              <w:rPr>
                <w:rFonts w:ascii="Cambria Math" w:cs="Cambria Math" w:eastAsia="Cambria Math" w:hAnsi="Cambria Math"/>
                <w:sz w:val="20"/>
                <w:szCs w:val="20"/>
              </w:rPr>
              <m:t xml:space="preserve">xi:yi</m:t>
            </m:r>
          </m:e>
        </m:d>
        <m:r>
          <w:rPr>
            <w:rFonts w:ascii="Cambria Math" w:cs="Cambria Math" w:eastAsia="Cambria Math" w:hAnsi="Cambria Math"/>
            <w:sz w:val="20"/>
            <w:szCs w:val="20"/>
          </w:rPr>
          <m:t xml:space="preserve">-(wi)</m:t>
        </m:r>
      </m:oMath>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ab/>
        <w:tab/>
        <w:tab/>
        <w:tab/>
        <w:tab/>
        <w:tab/>
        <w:tab/>
        <w:tab/>
        <w:t xml:space="preserve">                  (1)</w:t>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x = data of training, y = data of testing, n = total attributes, f = function of similarity between point x and point y, and w</w:t>
      </w:r>
      <w:r w:rsidDel="00000000" w:rsidR="00000000" w:rsidRPr="00000000">
        <w:rPr>
          <w:rFonts w:ascii="Times New Roman" w:cs="Times New Roman" w:eastAsia="Times New Roman" w:hAnsi="Times New Roman"/>
          <w:sz w:val="20"/>
          <w:szCs w:val="20"/>
          <w:vertAlign w:val="subscript"/>
          <w:rtl w:val="0"/>
        </w:rPr>
        <w:t xml:space="preserve">i</w:t>
      </w:r>
      <w:r w:rsidDel="00000000" w:rsidR="00000000" w:rsidRPr="00000000">
        <w:rPr>
          <w:rFonts w:ascii="Times New Roman" w:cs="Times New Roman" w:eastAsia="Times New Roman" w:hAnsi="Times New Roman"/>
          <w:sz w:val="20"/>
          <w:szCs w:val="20"/>
          <w:rtl w:val="0"/>
        </w:rPr>
        <w:t xml:space="preserve"> = weight given to attribute i.</w:t>
      </w:r>
    </w:p>
    <w:p w:rsidR="00000000" w:rsidDel="00000000" w:rsidP="00000000" w:rsidRDefault="00000000" w:rsidRPr="00000000" w14:paraId="000000A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3">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080000" cy="1080000"/>
            <wp:effectExtent b="0" l="0" r="0" t="0"/>
            <wp:docPr descr="E:\Research\severity\SFCTA\potongan_daging\50 x 50\daging (31)_50\018-daging1-18.jpg" id="8" name="image3.jpg"/>
            <a:graphic>
              <a:graphicData uri="http://schemas.openxmlformats.org/drawingml/2006/picture">
                <pic:pic>
                  <pic:nvPicPr>
                    <pic:cNvPr descr="E:\Research\severity\SFCTA\potongan_daging\50 x 50\daging (31)_50\018-daging1-18.jpg" id="0" name="image3.jpg"/>
                    <pic:cNvPicPr preferRelativeResize="0"/>
                  </pic:nvPicPr>
                  <pic:blipFill>
                    <a:blip r:embed="rId7"/>
                    <a:srcRect b="0" l="0" r="0" t="0"/>
                    <a:stretch>
                      <a:fillRect/>
                    </a:stretch>
                  </pic:blipFill>
                  <pic:spPr>
                    <a:xfrm>
                      <a:off x="0" y="0"/>
                      <a:ext cx="1080000" cy="1080000"/>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1080000" cy="1080000"/>
            <wp:effectExtent b="0" l="0" r="0" t="0"/>
            <wp:docPr id="7"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080000" cy="1080000"/>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1080000" cy="1080000"/>
            <wp:effectExtent b="0" l="0" r="0" t="0"/>
            <wp:docPr descr="E:\Research\severity\SFCTA\potongan_daging\50 x 50\daging (6)_50\017-daging1-17.jpg" id="9" name="image1.jpg"/>
            <a:graphic>
              <a:graphicData uri="http://schemas.openxmlformats.org/drawingml/2006/picture">
                <pic:pic>
                  <pic:nvPicPr>
                    <pic:cNvPr descr="E:\Research\severity\SFCTA\potongan_daging\50 x 50\daging (6)_50\017-daging1-17.jpg" id="0" name="image1.jpg"/>
                    <pic:cNvPicPr preferRelativeResize="0"/>
                  </pic:nvPicPr>
                  <pic:blipFill>
                    <a:blip r:embed="rId9"/>
                    <a:srcRect b="0" l="0" r="0" t="0"/>
                    <a:stretch>
                      <a:fillRect/>
                    </a:stretch>
                  </pic:blipFill>
                  <pic:spPr>
                    <a:xfrm>
                      <a:off x="0" y="0"/>
                      <a:ext cx="1080000"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                                  (c)</w:t>
      </w:r>
    </w:p>
    <w:p w:rsidR="00000000" w:rsidDel="00000000" w:rsidP="00000000" w:rsidRDefault="00000000" w:rsidRPr="00000000" w14:paraId="000000A5">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Example of Figure: (a) Ring stain; (b) Corrosive stain and (c) Yellow stain [5] [Heading of Figure]</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Conclusions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section involves the summary of findings without adding any new information from what has been stated in the previous sections. However, it should not be a word for word repetition of what has been discussed in the analysis and discussion section.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Deduction or conclusion is made from the previous description with the addition of argumentative personal opinion. It should also include the limitations of the research in terms of the process, the theory used, methods applied, or generalization of results which will serve as a foundation for further research. This section is also used to provide illustration or recommendation for further research on the subject which serves as a response to the observed limitation. Moreover, the implications of the research must also be included.</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Acknowledgment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[OPTIONAL]. This is used to appreciate the efforts of associate, who are not registered as co-authors, for their assistance and fund for your research/publication. Therefore, a standard note of ‘acknowledgment' is usually published in each article.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Works sent by authors are acknowledged but it is recommended that the reviewer decided by the editor gives valuable entries into each article to accelerate the review job due to the limited number of reviewers. The recommended reviewers can be listed at the end page after references because the review is conducted by a double-blind method.</w:t>
      </w:r>
    </w:p>
    <w:p w:rsidR="00000000" w:rsidDel="00000000" w:rsidP="00000000" w:rsidRDefault="00000000" w:rsidRPr="00000000" w14:paraId="000000AC">
      <w:pPr>
        <w:pStyle w:val="Heading1"/>
        <w:numPr>
          <w:ilvl w:val="0"/>
          <w:numId w:val="2"/>
        </w:numPr>
        <w:spacing w:line="240" w:lineRule="auto"/>
        <w:ind w:left="284" w:hanging="284"/>
        <w:rPr>
          <w:rFonts w:ascii="Times New Roman" w:cs="Times New Roman" w:eastAsia="Times New Roman" w:hAnsi="Times New Roman"/>
          <w:b w:val="1"/>
          <w:bCs w:val="1"/>
          <w:color w:val="000000"/>
          <w:sz w:val="22"/>
          <w:szCs w:val="22"/>
        </w:rPr>
      </w:pPr>
      <w:bookmarkStart w:colFirst="0" w:colLast="0" w:name="_heading=h.r5q2lqsk6c4p" w:id="0"/>
      <w:bookmarkEnd w:id="0"/>
      <w:r w:rsidDel="00000000" w:rsidR="00000000" w:rsidRPr="00000000">
        <w:rPr>
          <w:rFonts w:ascii="Times New Roman" w:cs="Times New Roman" w:eastAsia="Times New Roman" w:hAnsi="Times New Roman"/>
          <w:b w:val="1"/>
          <w:bCs w:val="1"/>
          <w:color w:val="000000"/>
          <w:sz w:val="22"/>
          <w:szCs w:val="22"/>
          <w:rtl w:val="0"/>
        </w:rPr>
        <w:t xml:space="preserve">References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References are made by using IEEE style [heading of contents) and must be at a minimum of 20 sources with 80% from indexed international journals of Scopus, Clarivate Analytics Web of Science (SCIE &amp; SSCI), PubMed, DOAJ  or database entries of IEEE, ACM, Proquest, CABI, Gale, EBSCO,  accredited national journals of S1-S2. The remaining may come from indexed international proceedings of Scopus, Clarivate Analytics Web of Science (SCIE &amp; SSCI), PubMed, DOAJ or database entries of IEEE, ACM, Proquest, CABI, Gale, EBSCO, Paten, and book of research results. References must be from 5 most recent years and most preferably 3 years.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072.0" w:type="dxa"/>
        <w:jc w:val="left"/>
        <w:tblLayout w:type="fixed"/>
        <w:tblLook w:val="0400"/>
      </w:tblPr>
      <w:tblGrid>
        <w:gridCol w:w="309"/>
        <w:gridCol w:w="8763"/>
        <w:tblGridChange w:id="0">
          <w:tblGrid>
            <w:gridCol w:w="309"/>
            <w:gridCol w:w="8763"/>
          </w:tblGrid>
        </w:tblGridChange>
      </w:tblGrid>
      <w:tr>
        <w:trPr>
          <w:cantSplit w:val="0"/>
          <w:tblHeader w:val="0"/>
        </w:trPr>
        <w:tc>
          <w:tcPr/>
          <w:bookmarkStart w:colFirst="0" w:colLast="0" w:name="bookmark=id.9yrxzwesrskc" w:id="1"/>
          <w:bookmarkEnd w:id="1"/>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K. Ratnasari, R. V. H. Ginardi dan C. Fatichah, “Pengenalan penyakit noda pada citra daun tebu berdasarkan ciri tekstur fractal dimension co-occurrence matrix dan L*a*b* color moments,”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JUTI,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vol. 12, no. 2, p. 27– 36, 2014. </w:t>
            </w:r>
          </w:p>
        </w:tc>
      </w:tr>
      <w:tr>
        <w:trPr>
          <w:cantSplit w:val="0"/>
          <w:tblHeader w:val="0"/>
        </w:trPr>
        <w:tc>
          <w:tcPr/>
          <w:bookmarkStart w:colFirst="0" w:colLast="0" w:name="bookmark=id.gcd5r5w8t77i" w:id="2"/>
          <w:bookmarkEnd w:id="2"/>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 Liu, Z. Chang, C. K. S. Leun, R. C. W. Wong, Y. Xu and R. Zha, "Efficient mining of extraordinary patterns by pruning and predicting,"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Expert Systems with Applications,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vol. 125, no. July, pp. 55-68, 2019. </w:t>
            </w:r>
          </w:p>
        </w:tc>
      </w:tr>
      <w:tr>
        <w:trPr>
          <w:cantSplit w:val="0"/>
          <w:tblHeader w:val="0"/>
        </w:trPr>
        <w:tc>
          <w:tcPr/>
          <w:bookmarkStart w:colFirst="0" w:colLast="0" w:name="bookmark=id.r95zhb3ob9ig" w:id="3"/>
          <w:bookmarkEnd w:id="3"/>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Masinde and k. Mkhonto, "The Critical Success Factors for e-Government Implementation in South Africa’s Local government: Factoring in Apartheid Digital Divide,"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2019 IEEE 2nd International Conference on Information and Computer Technologies (ICICT)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Kahului, HI, USA, 2019. </w:t>
            </w:r>
          </w:p>
        </w:tc>
      </w:tr>
      <w:tr>
        <w:trPr>
          <w:cantSplit w:val="0"/>
          <w:tblHeader w:val="0"/>
        </w:trPr>
        <w:tc>
          <w:tcPr/>
          <w:bookmarkStart w:colFirst="0" w:colLast="0" w:name="bookmark=id.nfzmv88gy250" w:id="4"/>
          <w:bookmarkEnd w:id="4"/>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 R. Varma, "Blockchain in Finance,"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Vikalpa: The Journal for Decision Makers,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vol. 44, no. 1, pp. 1-11, 2019. </w:t>
            </w:r>
          </w:p>
        </w:tc>
      </w:tr>
      <w:tr>
        <w:trPr>
          <w:cantSplit w:val="0"/>
          <w:tblHeader w:val="0"/>
        </w:trPr>
        <w:tc>
          <w:tcPr/>
          <w:bookmarkStart w:colFirst="0" w:colLast="0" w:name="bookmark=id.asy6r532lzkn" w:id="5"/>
          <w:bookmarkEnd w:id="5"/>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Orsdemir, G. Tilki and F. Altinay, "Evaluation by Teachers of “Use of Influence in Agile Management” by School Administration,"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International Journal of Disability, Development and Education,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pp. 1-13, 2019. </w:t>
            </w:r>
          </w:p>
        </w:tc>
      </w:tr>
    </w:tbl>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40" w:w="11907" w:orient="portrait"/>
      <w:pgMar w:bottom="1134" w:top="1134" w:left="1701"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Arial"/>
  <w:font w:name="Kaushan Script">
    <w:embedRegular w:fontKey="{00000000-0000-0000-0000-000000000000}" r:id="rId1" w:subsetted="0"/>
  </w:font>
  <w:font w:name="Cambria Math">
    <w:embedRegular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Write some words of tile … </w:t>
      <w:tab/>
      <w:tab/>
      <w:tab/>
      <w:tab/>
      <w:tab/>
      <w:t xml:space="preserve">              http://doi.org/10.XXXXX/JoCoSiR.v1iss1.ppXX-XX</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Journal of Computer Science Research (JoCoSiR) with CC BY NC SA license.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Write some words of tile … </w:t>
      <w:tab/>
      <w:tab/>
      <w:tab/>
      <w:tab/>
      <w:tab/>
      <w:t xml:space="preserve">              http://doi.org/10.XXXXX/JoCoSiR.v1iss1.ppXX-XX</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Journal of Computer Science Research (JoCoSiR) with CC BY NC SA license.</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Write some words of tile … </w:t>
      <w:tab/>
      <w:tab/>
      <w:tab/>
      <w:tab/>
      <w:tab/>
      <w:t xml:space="preserve">              http://doi.org/10.XXXXX/JoCoSiR.v1iss1.ppXX-XX</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Journal of Computer Science Research (JoCoSiR) with CC BY NC SA license.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ISSN 2502-3357 (Online)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ISSN 2502-3357 (Online)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Kaushan Script" w:cs="Kaushan Script" w:eastAsia="Kaushan Script" w:hAnsi="Kaushan Script"/>
        <w:b w:val="0"/>
        <w:bCs w:val="0"/>
        <w:i w:val="0"/>
        <w:iCs w:val="0"/>
        <w:smallCaps w:val="0"/>
        <w:strike w:val="0"/>
        <w:color w:val="4472c4"/>
        <w:sz w:val="72"/>
        <w:szCs w:val="72"/>
        <w:u w:val="none"/>
        <w:shd w:fill="auto" w:val="clear"/>
        <w:vertAlign w:val="baseline"/>
        <w:rtl w:val="0"/>
      </w:rPr>
      <w:t xml:space="preserve">JoCoSiR</w:t>
    </w:r>
    <w:r w:rsidDel="00000000" w:rsidR="00000000" w:rsidRPr="00000000">
      <w:rPr>
        <w:rFonts w:ascii="Arial" w:cs="Arial" w:eastAsia="Arial" w:hAnsi="Arial"/>
        <w:b w:val="0"/>
        <w:bCs w:val="0"/>
        <w:i w:val="0"/>
        <w:iCs w:val="0"/>
        <w:smallCaps w:val="0"/>
        <w:strike w:val="0"/>
        <w:color w:val="4472c4"/>
        <w:sz w:val="72"/>
        <w:szCs w:val="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72c4"/>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72c4"/>
        <w:sz w:val="15"/>
        <w:szCs w:val="15"/>
        <w:u w:val="none"/>
        <w:shd w:fill="auto" w:val="clear"/>
        <w:vertAlign w:val="baseline"/>
        <w:rtl w:val="0"/>
      </w:rPr>
      <w:t xml:space="preserve">              </w:t>
      <w:tab/>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0C1">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4472c4"/>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4472c4"/>
        <w:sz w:val="18"/>
        <w:szCs w:val="18"/>
        <w:u w:val="none"/>
        <w:shd w:fill="auto" w:val="clear"/>
        <w:vertAlign w:val="baseline"/>
        <w:rtl w:val="0"/>
      </w:rPr>
      <w:t xml:space="preserve">Journal of Computer Science Research</w:t>
      <w:tab/>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ISSN</w:t>
    </w: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 XXXX-XXXX (Online)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1.%2."/>
      <w:lvlJc w:val="left"/>
      <w:pPr>
        <w:ind w:left="720" w:hanging="360"/>
      </w:pPr>
      <w:rPr>
        <w:b w:val="1"/>
        <w:bCs w:val="1"/>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440" w:hanging="108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8A628A"/>
    <w:pPr>
      <w:tabs>
        <w:tab w:val="center" w:pos="4680"/>
        <w:tab w:val="right" w:pos="9360"/>
      </w:tabs>
      <w:spacing w:after="0" w:line="240" w:lineRule="auto"/>
    </w:pPr>
  </w:style>
  <w:style w:type="character" w:styleId="HeaderChar" w:customStyle="1">
    <w:name w:val="Header Char"/>
    <w:basedOn w:val="DefaultParagraphFont"/>
    <w:link w:val="Header"/>
    <w:uiPriority w:val="99"/>
    <w:rsid w:val="008A628A"/>
  </w:style>
  <w:style w:type="paragraph" w:styleId="Footer">
    <w:name w:val="footer"/>
    <w:basedOn w:val="Normal"/>
    <w:link w:val="FooterChar"/>
    <w:uiPriority w:val="99"/>
    <w:unhideWhenUsed w:val="1"/>
    <w:rsid w:val="008A628A"/>
    <w:pPr>
      <w:tabs>
        <w:tab w:val="center" w:pos="4680"/>
        <w:tab w:val="right" w:pos="9360"/>
      </w:tabs>
      <w:spacing w:after="0" w:line="240" w:lineRule="auto"/>
    </w:pPr>
  </w:style>
  <w:style w:type="character" w:styleId="FooterChar" w:customStyle="1">
    <w:name w:val="Footer Char"/>
    <w:basedOn w:val="DefaultParagraphFont"/>
    <w:link w:val="Footer"/>
    <w:uiPriority w:val="99"/>
    <w:rsid w:val="008A628A"/>
  </w:style>
  <w:style w:type="table" w:styleId="TableGrid">
    <w:name w:val="Table Grid"/>
    <w:basedOn w:val="TableNormal"/>
    <w:rsid w:val="008A628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qFormat w:val="1"/>
    <w:rsid w:val="008A628A"/>
    <w:rPr>
      <w:color w:val="0563c1" w:themeColor="hyperlink"/>
      <w:u w:val="single"/>
    </w:rPr>
  </w:style>
  <w:style w:type="character" w:styleId="TitleChar" w:customStyle="1">
    <w:name w:val="Title Char"/>
    <w:aliases w:val="Section Char"/>
    <w:basedOn w:val="DefaultParagraphFont"/>
    <w:link w:val="Title"/>
    <w:uiPriority w:val="10"/>
    <w:rsid w:val="002468BE"/>
    <w:rPr>
      <w:rFonts w:ascii="Times New Roman" w:cs="Times New Roman" w:eastAsia="Times New Roman" w:hAnsi="Times New Roman"/>
      <w:b w:val="1"/>
      <w:bCs w:val="1"/>
      <w:iCs w:val="1"/>
      <w:kern w:val="28"/>
      <w:sz w:val="24"/>
      <w:szCs w:val="32"/>
    </w:rPr>
  </w:style>
  <w:style w:type="paragraph" w:styleId="Judul" w:customStyle="1">
    <w:name w:val="Judul"/>
    <w:basedOn w:val="Normal"/>
    <w:link w:val="JudulChar"/>
    <w:qFormat w:val="1"/>
    <w:rsid w:val="00057BB2"/>
    <w:pPr>
      <w:spacing w:after="0" w:line="240" w:lineRule="auto"/>
      <w:jc w:val="both"/>
    </w:pPr>
    <w:rPr>
      <w:rFonts w:cstheme="minorHAnsi"/>
      <w:b w:val="1"/>
      <w:sz w:val="32"/>
      <w:szCs w:val="32"/>
      <w:shd w:color="auto" w:fill="ffffff" w:val="clear"/>
    </w:rPr>
  </w:style>
  <w:style w:type="paragraph" w:styleId="Penulis" w:customStyle="1">
    <w:name w:val="Penulis"/>
    <w:basedOn w:val="Normal"/>
    <w:link w:val="PenulisChar"/>
    <w:qFormat w:val="1"/>
    <w:rsid w:val="00B0399D"/>
    <w:pPr>
      <w:spacing w:line="240" w:lineRule="auto"/>
      <w:jc w:val="both"/>
    </w:pPr>
    <w:rPr>
      <w:rFonts w:ascii="Book Antiqua" w:cs="Arial" w:hAnsi="Book Antiqua"/>
      <w:i w:val="1"/>
      <w:color w:val="222222"/>
      <w:sz w:val="24"/>
      <w:szCs w:val="24"/>
      <w:shd w:color="auto" w:fill="ffffff" w:val="clear"/>
    </w:rPr>
  </w:style>
  <w:style w:type="character" w:styleId="JudulChar" w:customStyle="1">
    <w:name w:val="Judul Char"/>
    <w:basedOn w:val="DefaultParagraphFont"/>
    <w:link w:val="Judul"/>
    <w:rsid w:val="00057BB2"/>
    <w:rPr>
      <w:rFonts w:cstheme="minorHAnsi"/>
      <w:b w:val="1"/>
      <w:sz w:val="32"/>
      <w:szCs w:val="32"/>
    </w:rPr>
  </w:style>
  <w:style w:type="paragraph" w:styleId="Afiliasipenulis" w:customStyle="1">
    <w:name w:val="Afiliasi penulis"/>
    <w:basedOn w:val="Normal"/>
    <w:link w:val="AfiliasipenulisChar"/>
    <w:qFormat w:val="1"/>
    <w:rsid w:val="00CD0256"/>
    <w:pPr>
      <w:spacing w:after="0" w:line="240" w:lineRule="auto"/>
      <w:jc w:val="both"/>
    </w:pPr>
    <w:rPr>
      <w:rFonts w:ascii="Book Antiqua" w:cs="Arial" w:hAnsi="Book Antiqua"/>
      <w:i w:val="1"/>
      <w:sz w:val="16"/>
      <w:szCs w:val="16"/>
      <w:lang w:val="en-ID"/>
    </w:rPr>
  </w:style>
  <w:style w:type="character" w:styleId="PenulisChar" w:customStyle="1">
    <w:name w:val="Penulis Char"/>
    <w:basedOn w:val="DefaultParagraphFont"/>
    <w:link w:val="Penulis"/>
    <w:rsid w:val="00B0399D"/>
    <w:rPr>
      <w:rFonts w:ascii="Book Antiqua" w:cs="Arial" w:hAnsi="Book Antiqua"/>
      <w:i w:val="1"/>
      <w:color w:val="222222"/>
      <w:sz w:val="24"/>
      <w:szCs w:val="24"/>
    </w:rPr>
  </w:style>
  <w:style w:type="paragraph" w:styleId="InfoArtikel" w:customStyle="1">
    <w:name w:val="Info Artikel"/>
    <w:basedOn w:val="Normal"/>
    <w:link w:val="InfoArtikelChar"/>
    <w:qFormat w:val="1"/>
    <w:rsid w:val="00603CAF"/>
    <w:pPr>
      <w:spacing w:after="0" w:line="240" w:lineRule="auto"/>
    </w:pPr>
    <w:rPr>
      <w:rFonts w:ascii="Palatino Linotype" w:hAnsi="Palatino Linotype" w:cstheme="minorHAnsi"/>
      <w:b w:val="1"/>
      <w:sz w:val="18"/>
      <w:szCs w:val="18"/>
      <w:lang w:val="en-ID"/>
    </w:rPr>
  </w:style>
  <w:style w:type="character" w:styleId="AfiliasipenulisChar" w:customStyle="1">
    <w:name w:val="Afiliasi penulis Char"/>
    <w:basedOn w:val="DefaultParagraphFont"/>
    <w:link w:val="Afiliasipenulis"/>
    <w:rsid w:val="00CD0256"/>
    <w:rPr>
      <w:rFonts w:ascii="Book Antiqua" w:cs="Arial" w:hAnsi="Book Antiqua"/>
      <w:i w:val="1"/>
      <w:sz w:val="16"/>
      <w:szCs w:val="16"/>
      <w:lang w:val="en-ID"/>
    </w:rPr>
  </w:style>
  <w:style w:type="paragraph" w:styleId="Sejarahartikel" w:customStyle="1">
    <w:name w:val="Sejarah artikel"/>
    <w:basedOn w:val="Normal"/>
    <w:link w:val="SejarahartikelChar"/>
    <w:qFormat w:val="1"/>
    <w:rsid w:val="00712194"/>
    <w:pPr>
      <w:spacing w:after="0" w:line="240" w:lineRule="auto"/>
    </w:pPr>
    <w:rPr>
      <w:rFonts w:ascii="Book Antiqua" w:hAnsi="Book Antiqua"/>
      <w:b w:val="1"/>
      <w:i w:val="1"/>
      <w:sz w:val="15"/>
      <w:szCs w:val="15"/>
      <w:lang w:val="en-ID"/>
    </w:rPr>
  </w:style>
  <w:style w:type="character" w:styleId="InfoArtikelChar" w:customStyle="1">
    <w:name w:val="Info Artikel Char"/>
    <w:basedOn w:val="DefaultParagraphFont"/>
    <w:link w:val="InfoArtikel"/>
    <w:rsid w:val="00603CAF"/>
    <w:rPr>
      <w:rFonts w:ascii="Palatino Linotype" w:hAnsi="Palatino Linotype" w:cstheme="minorHAnsi"/>
      <w:b w:val="1"/>
      <w:sz w:val="18"/>
      <w:szCs w:val="18"/>
      <w:lang w:val="en-ID"/>
    </w:rPr>
  </w:style>
  <w:style w:type="paragraph" w:styleId="Isisejarahartikel" w:customStyle="1">
    <w:name w:val="Isi sejarah artikel"/>
    <w:basedOn w:val="Normal"/>
    <w:link w:val="IsisejarahartikelChar"/>
    <w:qFormat w:val="1"/>
    <w:rsid w:val="00603CAF"/>
    <w:pPr>
      <w:spacing w:after="0" w:line="240" w:lineRule="auto"/>
    </w:pPr>
    <w:rPr>
      <w:rFonts w:ascii="Palatino Linotype" w:hAnsi="Palatino Linotype"/>
      <w:sz w:val="15"/>
      <w:szCs w:val="15"/>
      <w:lang w:val="en-ID"/>
    </w:rPr>
  </w:style>
  <w:style w:type="character" w:styleId="SejarahartikelChar" w:customStyle="1">
    <w:name w:val="Sejarah artikel Char"/>
    <w:basedOn w:val="DefaultParagraphFont"/>
    <w:link w:val="Sejarahartikel"/>
    <w:rsid w:val="00712194"/>
    <w:rPr>
      <w:rFonts w:ascii="Book Antiqua" w:hAnsi="Book Antiqua"/>
      <w:b w:val="1"/>
      <w:i w:val="1"/>
      <w:sz w:val="15"/>
      <w:szCs w:val="15"/>
      <w:lang w:val="en-ID"/>
    </w:rPr>
  </w:style>
  <w:style w:type="paragraph" w:styleId="Katakunci" w:customStyle="1">
    <w:name w:val="Kata kunci"/>
    <w:basedOn w:val="Normal"/>
    <w:link w:val="KatakunciChar"/>
    <w:qFormat w:val="1"/>
    <w:rsid w:val="000E744E"/>
    <w:pPr>
      <w:spacing w:after="0" w:line="240" w:lineRule="auto"/>
    </w:pPr>
    <w:rPr>
      <w:rFonts w:ascii="Book Antiqua" w:hAnsi="Book Antiqua"/>
      <w:b w:val="1"/>
      <w:i w:val="1"/>
      <w:sz w:val="15"/>
      <w:szCs w:val="15"/>
      <w:lang w:val="en-ID"/>
    </w:rPr>
  </w:style>
  <w:style w:type="character" w:styleId="IsisejarahartikelChar" w:customStyle="1">
    <w:name w:val="Isi sejarah artikel Char"/>
    <w:basedOn w:val="DefaultParagraphFont"/>
    <w:link w:val="Isisejarahartikel"/>
    <w:rsid w:val="00603CAF"/>
    <w:rPr>
      <w:rFonts w:ascii="Palatino Linotype" w:hAnsi="Palatino Linotype"/>
      <w:sz w:val="15"/>
      <w:szCs w:val="15"/>
      <w:lang w:val="en-ID"/>
    </w:rPr>
  </w:style>
  <w:style w:type="paragraph" w:styleId="Isikatakunci" w:customStyle="1">
    <w:name w:val="Isi kata kunci"/>
    <w:basedOn w:val="Normal"/>
    <w:link w:val="IsikatakunciChar"/>
    <w:qFormat w:val="1"/>
    <w:rsid w:val="00603CAF"/>
    <w:pPr>
      <w:spacing w:after="0" w:line="240" w:lineRule="auto"/>
    </w:pPr>
    <w:rPr>
      <w:rFonts w:ascii="Palatino Linotype" w:hAnsi="Palatino Linotype"/>
      <w:iCs w:val="1"/>
      <w:sz w:val="15"/>
      <w:szCs w:val="15"/>
      <w:lang w:val="id-ID"/>
    </w:rPr>
  </w:style>
  <w:style w:type="character" w:styleId="KatakunciChar" w:customStyle="1">
    <w:name w:val="Kata kunci Char"/>
    <w:basedOn w:val="DefaultParagraphFont"/>
    <w:link w:val="Katakunci"/>
    <w:rsid w:val="000E744E"/>
    <w:rPr>
      <w:rFonts w:ascii="Book Antiqua" w:hAnsi="Book Antiqua"/>
      <w:b w:val="1"/>
      <w:i w:val="1"/>
      <w:sz w:val="15"/>
      <w:szCs w:val="15"/>
      <w:lang w:val="en-ID"/>
    </w:rPr>
  </w:style>
  <w:style w:type="paragraph" w:styleId="Isikeywords" w:customStyle="1">
    <w:name w:val="Isi keywords"/>
    <w:basedOn w:val="Normal"/>
    <w:link w:val="IsikeywordsChar"/>
    <w:qFormat w:val="1"/>
    <w:rsid w:val="00603CAF"/>
    <w:pPr>
      <w:spacing w:after="0" w:line="240" w:lineRule="auto"/>
    </w:pPr>
    <w:rPr>
      <w:rFonts w:ascii="Palatino Linotype" w:hAnsi="Palatino Linotype"/>
      <w:i w:val="1"/>
      <w:sz w:val="15"/>
      <w:szCs w:val="15"/>
      <w:lang w:val="id-ID"/>
    </w:rPr>
  </w:style>
  <w:style w:type="character" w:styleId="IsikatakunciChar" w:customStyle="1">
    <w:name w:val="Isi kata kunci Char"/>
    <w:basedOn w:val="DefaultParagraphFont"/>
    <w:link w:val="Isikatakunci"/>
    <w:rsid w:val="00603CAF"/>
    <w:rPr>
      <w:rFonts w:ascii="Palatino Linotype" w:hAnsi="Palatino Linotype"/>
      <w:iCs w:val="1"/>
      <w:sz w:val="15"/>
      <w:szCs w:val="15"/>
      <w:lang w:val="id-ID"/>
    </w:rPr>
  </w:style>
  <w:style w:type="paragraph" w:styleId="Abstrak" w:customStyle="1">
    <w:name w:val="Abstrak"/>
    <w:basedOn w:val="Title"/>
    <w:link w:val="AbstrakChar"/>
    <w:qFormat w:val="1"/>
    <w:rsid w:val="000B397F"/>
    <w:pPr>
      <w:jc w:val="center"/>
    </w:pPr>
    <w:rPr>
      <w:rFonts w:ascii="Book Antiqua" w:hAnsi="Book Antiqua"/>
      <w:color w:val="000000" w:themeColor="text1"/>
      <w:sz w:val="20"/>
      <w:szCs w:val="15"/>
    </w:rPr>
  </w:style>
  <w:style w:type="character" w:styleId="IsikeywordsChar" w:customStyle="1">
    <w:name w:val="Isi keywords Char"/>
    <w:basedOn w:val="DefaultParagraphFont"/>
    <w:link w:val="Isikeywords"/>
    <w:rsid w:val="00603CAF"/>
    <w:rPr>
      <w:rFonts w:ascii="Palatino Linotype" w:hAnsi="Palatino Linotype"/>
      <w:i w:val="1"/>
      <w:sz w:val="15"/>
      <w:szCs w:val="15"/>
      <w:lang w:val="id-ID"/>
    </w:rPr>
  </w:style>
  <w:style w:type="paragraph" w:styleId="Isiabstrak" w:customStyle="1">
    <w:name w:val="Isi abstrak"/>
    <w:basedOn w:val="Normal"/>
    <w:link w:val="IsiabstrakChar"/>
    <w:qFormat w:val="1"/>
    <w:rsid w:val="00D7031B"/>
    <w:pPr>
      <w:spacing w:after="0" w:line="240" w:lineRule="auto"/>
      <w:jc w:val="both"/>
    </w:pPr>
    <w:rPr>
      <w:rFonts w:ascii="Palatino Linotype" w:hAnsi="Palatino Linotype"/>
      <w:iCs w:val="1"/>
      <w:sz w:val="18"/>
      <w:szCs w:val="15"/>
    </w:rPr>
  </w:style>
  <w:style w:type="character" w:styleId="AbstrakChar" w:customStyle="1">
    <w:name w:val="Abstrak Char"/>
    <w:basedOn w:val="TitleChar"/>
    <w:link w:val="Abstrak"/>
    <w:rsid w:val="000B397F"/>
    <w:rPr>
      <w:rFonts w:ascii="Book Antiqua" w:cs="Times New Roman" w:eastAsia="Times New Roman" w:hAnsi="Book Antiqua"/>
      <w:b w:val="1"/>
      <w:bCs w:val="1"/>
      <w:iCs w:val="1"/>
      <w:color w:val="000000" w:themeColor="text1"/>
      <w:kern w:val="28"/>
      <w:sz w:val="20"/>
      <w:szCs w:val="15"/>
    </w:rPr>
  </w:style>
  <w:style w:type="paragraph" w:styleId="Abstract" w:customStyle="1">
    <w:name w:val="Abstract"/>
    <w:basedOn w:val="Title"/>
    <w:link w:val="AbstractChar"/>
    <w:qFormat w:val="1"/>
    <w:rsid w:val="000B397F"/>
    <w:pPr>
      <w:jc w:val="center"/>
    </w:pPr>
    <w:rPr>
      <w:rFonts w:ascii="Book Antiqua" w:hAnsi="Book Antiqua"/>
      <w:i w:val="1"/>
      <w:sz w:val="20"/>
      <w:szCs w:val="18"/>
    </w:rPr>
  </w:style>
  <w:style w:type="character" w:styleId="IsiabstrakChar" w:customStyle="1">
    <w:name w:val="Isi abstrak Char"/>
    <w:basedOn w:val="DefaultParagraphFont"/>
    <w:link w:val="Isiabstrak"/>
    <w:rsid w:val="00D7031B"/>
    <w:rPr>
      <w:rFonts w:ascii="Palatino Linotype" w:hAnsi="Palatino Linotype"/>
      <w:iCs w:val="1"/>
      <w:sz w:val="18"/>
      <w:szCs w:val="15"/>
    </w:rPr>
  </w:style>
  <w:style w:type="paragraph" w:styleId="Isiabstract" w:customStyle="1">
    <w:name w:val="Isi abstract"/>
    <w:basedOn w:val="Normal"/>
    <w:link w:val="IsiabstractChar"/>
    <w:qFormat w:val="1"/>
    <w:rsid w:val="00D7031B"/>
    <w:pPr>
      <w:spacing w:after="0" w:line="240" w:lineRule="auto"/>
      <w:jc w:val="both"/>
    </w:pPr>
    <w:rPr>
      <w:rFonts w:ascii="Palatino Linotype" w:hAnsi="Palatino Linotype"/>
      <w:i w:val="1"/>
      <w:sz w:val="18"/>
      <w:szCs w:val="15"/>
      <w:lang w:val="sv-SE"/>
    </w:rPr>
  </w:style>
  <w:style w:type="character" w:styleId="AbstractChar" w:customStyle="1">
    <w:name w:val="Abstract Char"/>
    <w:basedOn w:val="TitleChar"/>
    <w:link w:val="Abstract"/>
    <w:rsid w:val="000B397F"/>
    <w:rPr>
      <w:rFonts w:ascii="Book Antiqua" w:cs="Times New Roman" w:eastAsia="Times New Roman" w:hAnsi="Book Antiqua"/>
      <w:b w:val="1"/>
      <w:bCs w:val="1"/>
      <w:i w:val="1"/>
      <w:iCs w:val="1"/>
      <w:kern w:val="28"/>
      <w:sz w:val="20"/>
      <w:szCs w:val="18"/>
    </w:rPr>
  </w:style>
  <w:style w:type="paragraph" w:styleId="Hakcipta" w:customStyle="1">
    <w:name w:val="Hak cipta"/>
    <w:basedOn w:val="Isiabstract"/>
    <w:link w:val="HakciptaChar"/>
    <w:qFormat w:val="1"/>
    <w:rsid w:val="004B7532"/>
    <w:pPr>
      <w:jc w:val="right"/>
    </w:pPr>
    <w:rPr>
      <w:rFonts w:ascii="Arial Nova Light" w:hAnsi="Arial Nova Light"/>
      <w:i w:val="0"/>
      <w:sz w:val="14"/>
      <w:lang w:val="en-ID"/>
    </w:rPr>
  </w:style>
  <w:style w:type="character" w:styleId="IsiabstractChar" w:customStyle="1">
    <w:name w:val="Isi abstract Char"/>
    <w:basedOn w:val="DefaultParagraphFont"/>
    <w:link w:val="Isiabstract"/>
    <w:rsid w:val="00D7031B"/>
    <w:rPr>
      <w:rFonts w:ascii="Palatino Linotype" w:hAnsi="Palatino Linotype"/>
      <w:i w:val="1"/>
      <w:sz w:val="18"/>
      <w:szCs w:val="15"/>
      <w:lang w:val="sv-SE"/>
    </w:rPr>
  </w:style>
  <w:style w:type="paragraph" w:styleId="ListParagraph">
    <w:name w:val="List Paragraph"/>
    <w:basedOn w:val="Normal"/>
    <w:link w:val="ListParagraphChar"/>
    <w:uiPriority w:val="34"/>
    <w:qFormat w:val="1"/>
    <w:rsid w:val="009F18F8"/>
    <w:pPr>
      <w:ind w:left="720"/>
      <w:contextualSpacing w:val="1"/>
    </w:pPr>
  </w:style>
  <w:style w:type="character" w:styleId="HakciptaChar" w:customStyle="1">
    <w:name w:val="Hak cipta Char"/>
    <w:basedOn w:val="IsiabstractChar"/>
    <w:link w:val="Hakcipta"/>
    <w:rsid w:val="004B7532"/>
    <w:rPr>
      <w:rFonts w:ascii="Arial Nova Light" w:hAnsi="Arial Nova Light"/>
      <w:i w:val="0"/>
      <w:sz w:val="14"/>
      <w:szCs w:val="15"/>
      <w:lang w:val="en-ID"/>
    </w:rPr>
  </w:style>
  <w:style w:type="paragraph" w:styleId="SubJudul" w:customStyle="1">
    <w:name w:val="Sub Judul"/>
    <w:basedOn w:val="ListParagraph"/>
    <w:link w:val="SubJudulChar"/>
    <w:qFormat w:val="1"/>
    <w:rsid w:val="009C1C73"/>
    <w:pPr>
      <w:numPr>
        <w:numId w:val="3"/>
      </w:numPr>
      <w:spacing w:after="0" w:line="240" w:lineRule="auto"/>
      <w:ind w:left="284" w:hanging="284"/>
      <w:jc w:val="both"/>
    </w:pPr>
    <w:rPr>
      <w:rFonts w:ascii="Palatino Linotype" w:hAnsi="Palatino Linotype"/>
      <w:b w:val="1"/>
      <w:sz w:val="20"/>
      <w:lang w:val="en-ID"/>
    </w:rPr>
  </w:style>
  <w:style w:type="paragraph" w:styleId="FootnoteText">
    <w:name w:val="footnote text"/>
    <w:basedOn w:val="Normal"/>
    <w:link w:val="FootnoteTextChar"/>
    <w:semiHidden w:val="1"/>
    <w:rsid w:val="009466FC"/>
    <w:pPr>
      <w:spacing w:after="0" w:line="240" w:lineRule="auto"/>
      <w:ind w:firstLine="202"/>
      <w:jc w:val="both"/>
    </w:pPr>
    <w:rPr>
      <w:rFonts w:ascii="Times New Roman" w:cs="Times New Roman" w:eastAsia="Times New Roman" w:hAnsi="Times New Roman"/>
      <w:sz w:val="16"/>
      <w:szCs w:val="16"/>
    </w:rPr>
  </w:style>
  <w:style w:type="character" w:styleId="ListParagraphChar" w:customStyle="1">
    <w:name w:val="List Paragraph Char"/>
    <w:basedOn w:val="DefaultParagraphFont"/>
    <w:link w:val="ListParagraph"/>
    <w:uiPriority w:val="34"/>
    <w:rsid w:val="009F18F8"/>
  </w:style>
  <w:style w:type="character" w:styleId="SubJudulChar" w:customStyle="1">
    <w:name w:val="Sub Judul Char"/>
    <w:basedOn w:val="ListParagraphChar"/>
    <w:link w:val="SubJudul"/>
    <w:rsid w:val="009C1C73"/>
    <w:rPr>
      <w:rFonts w:ascii="Palatino Linotype" w:hAnsi="Palatino Linotype"/>
      <w:b w:val="1"/>
      <w:sz w:val="20"/>
      <w:lang w:val="en-ID"/>
    </w:rPr>
  </w:style>
  <w:style w:type="character" w:styleId="FootnoteTextChar" w:customStyle="1">
    <w:name w:val="Footnote Text Char"/>
    <w:basedOn w:val="DefaultParagraphFont"/>
    <w:link w:val="FootnoteText"/>
    <w:semiHidden w:val="1"/>
    <w:rsid w:val="009466FC"/>
    <w:rPr>
      <w:rFonts w:ascii="Times New Roman" w:cs="Times New Roman" w:eastAsia="Times New Roman" w:hAnsi="Times New Roman"/>
      <w:sz w:val="16"/>
      <w:szCs w:val="16"/>
    </w:rPr>
  </w:style>
  <w:style w:type="paragraph" w:styleId="Isi" w:customStyle="1">
    <w:name w:val="Isi"/>
    <w:basedOn w:val="Normal"/>
    <w:link w:val="IsiChar"/>
    <w:qFormat w:val="1"/>
    <w:rsid w:val="00BD29B3"/>
    <w:pPr>
      <w:spacing w:after="0"/>
      <w:jc w:val="both"/>
    </w:pPr>
    <w:rPr>
      <w:rFonts w:ascii="Palatino Linotype" w:hAnsi="Palatino Linotype"/>
      <w:sz w:val="20"/>
      <w:szCs w:val="20"/>
    </w:rPr>
  </w:style>
  <w:style w:type="paragraph" w:styleId="Subsubjudul" w:customStyle="1">
    <w:name w:val="Sub sub judul"/>
    <w:basedOn w:val="Isi"/>
    <w:link w:val="SubsubjudulChar"/>
    <w:qFormat w:val="1"/>
    <w:rsid w:val="00EA5462"/>
    <w:pPr>
      <w:numPr>
        <w:ilvl w:val="1"/>
        <w:numId w:val="3"/>
      </w:numPr>
      <w:spacing w:after="80" w:before="80"/>
    </w:pPr>
    <w:rPr>
      <w:b w:val="1"/>
      <w:i w:val="1"/>
      <w:lang w:val="id-ID"/>
    </w:rPr>
  </w:style>
  <w:style w:type="character" w:styleId="IsiChar" w:customStyle="1">
    <w:name w:val="Isi Char"/>
    <w:basedOn w:val="DefaultParagraphFont"/>
    <w:link w:val="Isi"/>
    <w:rsid w:val="00BD29B3"/>
    <w:rPr>
      <w:rFonts w:ascii="Palatino Linotype" w:hAnsi="Palatino Linotype"/>
      <w:sz w:val="20"/>
      <w:szCs w:val="20"/>
    </w:rPr>
  </w:style>
  <w:style w:type="paragraph" w:styleId="Text" w:customStyle="1">
    <w:name w:val="Text"/>
    <w:basedOn w:val="Normal"/>
    <w:rsid w:val="00AB459A"/>
    <w:pPr>
      <w:widowControl w:val="0"/>
      <w:suppressAutoHyphens w:val="1"/>
      <w:spacing w:after="0" w:line="252" w:lineRule="auto"/>
      <w:ind w:firstLine="202"/>
      <w:jc w:val="both"/>
    </w:pPr>
    <w:rPr>
      <w:rFonts w:ascii="Times New Roman" w:cs="Times New Roman" w:eastAsia="Times New Roman" w:hAnsi="Times New Roman"/>
      <w:szCs w:val="20"/>
    </w:rPr>
  </w:style>
  <w:style w:type="character" w:styleId="SubsubjudulChar" w:customStyle="1">
    <w:name w:val="Sub sub judul Char"/>
    <w:basedOn w:val="IsiChar"/>
    <w:link w:val="Subsubjudul"/>
    <w:rsid w:val="00EA5462"/>
    <w:rPr>
      <w:rFonts w:ascii="Palatino Linotype" w:hAnsi="Palatino Linotype"/>
      <w:b w:val="1"/>
      <w:i w:val="1"/>
      <w:sz w:val="20"/>
      <w:szCs w:val="20"/>
      <w:lang w:val="id-ID"/>
    </w:rPr>
  </w:style>
  <w:style w:type="paragraph" w:styleId="Gambar" w:customStyle="1">
    <w:name w:val="Gambar"/>
    <w:basedOn w:val="Normal"/>
    <w:link w:val="GambarChar"/>
    <w:qFormat w:val="1"/>
    <w:rsid w:val="00D84FD0"/>
    <w:pPr>
      <w:jc w:val="center"/>
    </w:pPr>
    <w:rPr>
      <w:rFonts w:ascii="Palatino Linotype" w:hAnsi="Palatino Linotype" w:cstheme="minorHAnsi"/>
      <w:sz w:val="18"/>
      <w:szCs w:val="20"/>
    </w:rPr>
  </w:style>
  <w:style w:type="character" w:styleId="GambarChar" w:customStyle="1">
    <w:name w:val="Gambar Char"/>
    <w:basedOn w:val="DefaultParagraphFont"/>
    <w:link w:val="Gambar"/>
    <w:rsid w:val="00D84FD0"/>
    <w:rPr>
      <w:rFonts w:ascii="Palatino Linotype" w:hAnsi="Palatino Linotype" w:cstheme="minorHAnsi"/>
      <w:sz w:val="18"/>
      <w:szCs w:val="20"/>
    </w:rPr>
  </w:style>
  <w:style w:type="paragraph" w:styleId="Tabel" w:customStyle="1">
    <w:name w:val="Tabel"/>
    <w:basedOn w:val="Isi"/>
    <w:link w:val="TabelChar"/>
    <w:qFormat w:val="1"/>
    <w:rsid w:val="00914BEE"/>
    <w:pPr>
      <w:jc w:val="center"/>
    </w:pPr>
    <w:rPr>
      <w:sz w:val="18"/>
    </w:rPr>
  </w:style>
  <w:style w:type="character" w:styleId="Heading1Char" w:customStyle="1">
    <w:name w:val="Heading 1 Char"/>
    <w:basedOn w:val="DefaultParagraphFont"/>
    <w:link w:val="Heading1"/>
    <w:uiPriority w:val="9"/>
    <w:rsid w:val="00B42CC1"/>
    <w:rPr>
      <w:rFonts w:asciiTheme="majorHAnsi" w:cstheme="majorBidi" w:eastAsiaTheme="majorEastAsia" w:hAnsiTheme="majorHAnsi"/>
      <w:color w:val="2e74b5" w:themeColor="accent1" w:themeShade="0000BF"/>
      <w:sz w:val="32"/>
      <w:szCs w:val="32"/>
    </w:rPr>
  </w:style>
  <w:style w:type="character" w:styleId="TabelChar" w:customStyle="1">
    <w:name w:val="Tabel Char"/>
    <w:basedOn w:val="IsiChar"/>
    <w:link w:val="Tabel"/>
    <w:rsid w:val="00914BEE"/>
    <w:rPr>
      <w:rFonts w:ascii="Palatino Linotype" w:hAnsi="Palatino Linotype"/>
      <w:sz w:val="18"/>
      <w:szCs w:val="20"/>
    </w:rPr>
  </w:style>
  <w:style w:type="paragraph" w:styleId="Bibliography">
    <w:name w:val="Bibliography"/>
    <w:basedOn w:val="Normal"/>
    <w:next w:val="Normal"/>
    <w:uiPriority w:val="37"/>
    <w:unhideWhenUsed w:val="1"/>
    <w:rsid w:val="00B42CC1"/>
  </w:style>
  <w:style w:type="paragraph" w:styleId="Referensi" w:customStyle="1">
    <w:name w:val="Referensi"/>
    <w:basedOn w:val="Isi"/>
    <w:link w:val="ReferensiChar"/>
    <w:qFormat w:val="1"/>
    <w:rsid w:val="005D2DB3"/>
    <w:pPr>
      <w:ind w:left="284" w:hanging="284"/>
    </w:pPr>
  </w:style>
  <w:style w:type="character" w:styleId="ReferensiChar" w:customStyle="1">
    <w:name w:val="Referensi Char"/>
    <w:basedOn w:val="IsiChar"/>
    <w:link w:val="Referensi"/>
    <w:rsid w:val="005D2DB3"/>
    <w:rPr>
      <w:rFonts w:ascii="Palatino Linotype" w:hAnsi="Palatino Linotype"/>
      <w:sz w:val="20"/>
      <w:szCs w:val="20"/>
    </w:rPr>
  </w:style>
  <w:style w:type="paragraph" w:styleId="Email" w:customStyle="1">
    <w:name w:val="Email"/>
    <w:basedOn w:val="Normal"/>
    <w:link w:val="EmailChar"/>
    <w:qFormat w:val="1"/>
    <w:rsid w:val="00F53236"/>
    <w:pPr>
      <w:spacing w:after="0" w:line="240" w:lineRule="auto"/>
      <w:jc w:val="both"/>
    </w:pPr>
    <w:rPr>
      <w:rFonts w:ascii="Book Antiqua" w:hAnsi="Book Antiqua"/>
      <w:i w:val="1"/>
      <w:sz w:val="16"/>
      <w:szCs w:val="16"/>
      <w:lang w:val="en-ID"/>
    </w:rPr>
  </w:style>
  <w:style w:type="character" w:styleId="EmailChar" w:customStyle="1">
    <w:name w:val="Email Char"/>
    <w:basedOn w:val="DefaultParagraphFont"/>
    <w:link w:val="Email"/>
    <w:rsid w:val="00F53236"/>
    <w:rPr>
      <w:rFonts w:ascii="Book Antiqua" w:hAnsi="Book Antiqua"/>
      <w:i w:val="1"/>
      <w:sz w:val="16"/>
      <w:szCs w:val="16"/>
      <w:lang w:val="en-ID"/>
    </w:rPr>
  </w:style>
  <w:style w:type="character" w:styleId="Emphasis">
    <w:name w:val="Emphasis"/>
    <w:basedOn w:val="DefaultParagraphFont"/>
    <w:uiPriority w:val="20"/>
    <w:qFormat w:val="1"/>
    <w:rsid w:val="00960605"/>
    <w:rPr>
      <w:i w:val="1"/>
      <w:iCs w:val="1"/>
    </w:rPr>
  </w:style>
  <w:style w:type="paragraph" w:styleId="NormalWeb">
    <w:name w:val="Normal (Web)"/>
    <w:basedOn w:val="Normal"/>
    <w:uiPriority w:val="99"/>
    <w:semiHidden w:val="1"/>
    <w:unhideWhenUsed w:val="1"/>
    <w:rsid w:val="002E45EF"/>
    <w:pPr>
      <w:spacing w:after="100" w:afterAutospacing="1" w:before="100" w:beforeAutospacing="1" w:line="240" w:lineRule="auto"/>
    </w:pPr>
    <w:rPr>
      <w:rFonts w:ascii="Times New Roman" w:cs="Times New Roman" w:eastAsia="Times New Roman" w:hAnsi="Times New Roman"/>
      <w:sz w:val="24"/>
      <w:szCs w:val="24"/>
    </w:rPr>
  </w:style>
  <w:style w:type="paragraph" w:styleId="Sitasi" w:customStyle="1">
    <w:name w:val="Sitasi"/>
    <w:basedOn w:val="Katakunci"/>
    <w:link w:val="SitasiChar"/>
    <w:qFormat w:val="1"/>
    <w:rsid w:val="002D525C"/>
  </w:style>
  <w:style w:type="paragraph" w:styleId="Isisitasi" w:customStyle="1">
    <w:name w:val="Isi sitasi"/>
    <w:basedOn w:val="Isikeywords"/>
    <w:link w:val="IsisitasiChar"/>
    <w:qFormat w:val="1"/>
    <w:rsid w:val="00D6259A"/>
    <w:rPr>
      <w:i w:val="0"/>
    </w:rPr>
  </w:style>
  <w:style w:type="character" w:styleId="SitasiChar" w:customStyle="1">
    <w:name w:val="Sitasi Char"/>
    <w:basedOn w:val="KatakunciChar"/>
    <w:link w:val="Sitasi"/>
    <w:rsid w:val="002D525C"/>
    <w:rPr>
      <w:rFonts w:ascii="Book Antiqua" w:hAnsi="Book Antiqua"/>
      <w:b w:val="1"/>
      <w:i w:val="1"/>
      <w:sz w:val="15"/>
      <w:szCs w:val="15"/>
      <w:lang w:val="en-ID"/>
    </w:rPr>
  </w:style>
  <w:style w:type="character" w:styleId="IsisitasiChar" w:customStyle="1">
    <w:name w:val="Isi sitasi Char"/>
    <w:basedOn w:val="IsikeywordsChar"/>
    <w:link w:val="Isisitasi"/>
    <w:rsid w:val="00D6259A"/>
    <w:rPr>
      <w:rFonts w:ascii="Palatino Linotype" w:hAnsi="Palatino Linotype"/>
      <w:i w:val="0"/>
      <w:sz w:val="15"/>
      <w:szCs w:val="15"/>
      <w:lang w:val="id-I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KaushanScript-regular.ttf"/><Relationship Id="rId2"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tHnD8kpwMlCDFzvgd4e0BjvbQ==">CgMxLjAaHwoBMBIaChgICVIUChJ0YWJsZS5wbjJ6Z2V3dDU4azMaHgoBMRIZChcICVITChF0YWJsZS5vZHJ2Y21keXZwYRofCgEyEhoKGAgJUhQKEnRhYmxlLndlaDZkandyaThsbholCgEzEiAKHggHQhoKD1RpbWVzIE5ldyBSb21hbhIHR3VuZ3N1aDIOaC5yNXEybHFzazZjNHAyD2lkLjl5cnh6d2VzcnNrYzIPaWQuZ2NkNXI1dzh0NzdpMg9pZC5yOTV6aGIzb2I5aWcyD2lkLm5mem12ODhneTI1MDIPaWQuYXN5NnI1MzJsemtuOAByITFEcWY0NklOMTNHSUU4MXhrYzJtNkRrRnYyRzZ6ZWNL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2023-02-13T13:35:00Z</dcterms:created>
  <dc:creator>rey ch</dc:creator>
</cp:coreProperties>
</file>