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/>
      </w:pPr>
      <w:r>
        <w:rPr>
          <w:rFonts w:ascii="Calibri" w:hAnsi="Calibri"/>
          <w:b/>
          <w:i w:val="0"/>
          <w:color w:val="0B2545"/>
          <w:sz w:val="48"/>
        </w:rPr>
        <w:t>Croissant Table Encoder Methods</w:t>
      </w:r>
    </w:p>
    <w:p>
      <w:pPr>
        <w:spacing w:after="320"/>
      </w:pPr>
      <w:r>
        <w:rPr>
          <w:rFonts w:ascii="Calibri" w:hAnsi="Calibri"/>
          <w:i w:val="0"/>
          <w:color w:val="5B6573"/>
          <w:sz w:val="24"/>
        </w:rPr>
        <w:t>Implementation reference: cell initialization, contextualization, and trainable table-side parameters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Scope. </w:t>
            </w:r>
            <w:r>
              <w:rPr>
                <w:rFonts w:ascii="Calibri" w:hAnsi="Calibri"/>
                <w:i w:val="0"/>
                <w:color w:val="1F2937"/>
                <w:sz w:val="21"/>
              </w:rPr>
              <w:t>Counts exclude frozen language-model weights, the shared query encoder, MultiScorer, and the ELECTRA discriminator. Baseline counts assume native width D=768, three structural layers where applicable, and a final 768→64 adapter. The custom model summary is the current evaluation configuration: FiLM, k=768, three TableLayers.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Notation and Reading Guide</w:t>
      </w:r>
    </w:p>
    <w:p>
      <w:pPr>
        <w:pStyle w:val="ListBullet"/>
        <w:spacing w:after="60" w:line="276" w:lineRule="auto"/>
      </w:pPr>
      <w:r>
        <w:rPr>
          <w:rFonts w:ascii="Calibri" w:hAnsi="Calibri"/>
          <w:i w:val="0"/>
          <w:color w:val="1F2937"/>
          <w:sz w:val="21"/>
        </w:rPr>
        <w:t>R and C denote the number of table rows and columns. Cell (i, j) lies in row i and column j.</w:t>
      </w:r>
    </w:p>
    <w:p>
      <w:pPr>
        <w:pStyle w:val="ListBullet"/>
        <w:spacing w:after="60" w:line="276" w:lineRule="auto"/>
      </w:pPr>
      <w:r>
        <w:rPr>
          <w:rFonts w:ascii="Calibri" w:hAnsi="Calibri"/>
          <w:i w:val="0"/>
          <w:color w:val="1F2937"/>
          <w:sz w:val="21"/>
        </w:rPr>
        <w:t>D is a baseline’s native structural width (768). k is Croissant’s TableLayer width; the current evaluation model uses k=768.</w:t>
      </w:r>
    </w:p>
    <w:p>
      <w:pPr>
        <w:pStyle w:val="ListBullet"/>
        <w:spacing w:after="60" w:line="276" w:lineRule="auto"/>
      </w:pPr>
      <w:r>
        <w:rPr>
          <w:rFonts w:ascii="Calibri" w:hAnsi="Calibri"/>
          <w:i w:val="0"/>
          <w:color w:val="1F2937"/>
          <w:sz w:val="21"/>
        </w:rPr>
        <w:t>A cell embedding is the vector sent to the shared retrieval scorer after the method’s own contextualization and, for baselines, the final 768→64 adapter.</w:t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At-a-Glance Comparison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1250"/>
        <w:gridCol w:w="3200"/>
        <w:gridCol w:w="3460"/>
      </w:tblGrid>
      <w:tr>
        <w:trPr>
          <w:tblHeader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Method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Trainable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Initial cell form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Contextualization</w:t>
            </w:r>
          </w:p>
        </w:tc>
      </w:tr>
      <w:tr>
        <w:tc>
          <w:tcPr>
            <w:tcW w:type="dxa" w:w="145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2937"/>
                <w:sz w:val="17"/>
              </w:rPr>
              <w:t>Ours (FiLM)</w:t>
            </w:r>
          </w:p>
        </w:tc>
        <w:tc>
          <w:tcPr>
            <w:tcW w:type="dxa" w:w="12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15.38M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Cell text + header, fused by FiLM</w:t>
            </w:r>
          </w:p>
        </w:tc>
        <w:tc>
          <w:tcPr>
            <w:tcW w:type="dxa" w:w="34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Row-GRAM Q/K; row-aligned cross-column attention; pointwise MLP</w:t>
            </w:r>
          </w:p>
        </w:tc>
      </w:tr>
      <w:tr>
        <w:tc>
          <w:tcPr>
            <w:tcW w:type="dxa" w:w="145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2937"/>
                <w:sz w:val="17"/>
              </w:rPr>
              <w:t>Plain BERT</w:t>
            </w:r>
          </w:p>
        </w:tc>
        <w:tc>
          <w:tcPr>
            <w:tcW w:type="dxa" w:w="12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49K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Header:value token span</w:t>
            </w:r>
          </w:p>
        </w:tc>
        <w:tc>
          <w:tcPr>
            <w:tcW w:type="dxa" w:w="34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Global token attention; span mean</w:t>
            </w:r>
          </w:p>
        </w:tc>
      </w:tr>
      <w:tr>
        <w:tc>
          <w:tcPr>
            <w:tcW w:type="dxa" w:w="145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2937"/>
                <w:sz w:val="17"/>
              </w:rPr>
              <w:t>TAPAS</w:t>
            </w:r>
          </w:p>
        </w:tc>
        <w:tc>
          <w:tcPr>
            <w:tcW w:type="dxa" w:w="12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49K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Token + table structural IDs</w:t>
            </w:r>
          </w:p>
        </w:tc>
        <w:tc>
          <w:tcPr>
            <w:tcW w:type="dxa" w:w="34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Global token attention; row/column-ID scatter mean</w:t>
            </w:r>
          </w:p>
        </w:tc>
      </w:tr>
      <w:tr>
        <w:tc>
          <w:tcPr>
            <w:tcW w:type="dxa" w:w="145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2937"/>
                <w:sz w:val="17"/>
              </w:rPr>
              <w:t>TURL</w:t>
            </w:r>
          </w:p>
        </w:tc>
        <w:tc>
          <w:tcPr>
            <w:tcW w:type="dxa" w:w="12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21.31M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One mean-pooled node per cell</w:t>
            </w:r>
          </w:p>
        </w:tc>
        <w:tc>
          <w:tcPr>
            <w:tcW w:type="dxa" w:w="34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Visibility-masked Transformer</w:t>
            </w:r>
          </w:p>
        </w:tc>
      </w:tr>
      <w:tr>
        <w:tc>
          <w:tcPr>
            <w:tcW w:type="dxa" w:w="145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2937"/>
                <w:sz w:val="17"/>
              </w:rPr>
              <w:t>TABBIE</w:t>
            </w:r>
          </w:p>
        </w:tc>
        <w:tc>
          <w:tcPr>
            <w:tcW w:type="dxa" w:w="12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42.73M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Independent cell/header vectors</w:t>
            </w:r>
          </w:p>
        </w:tc>
        <w:tc>
          <w:tcPr>
            <w:tcW w:type="dxa" w:w="34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Alternating row and column Transformers</w:t>
            </w:r>
          </w:p>
        </w:tc>
      </w:tr>
      <w:tr>
        <w:tc>
          <w:tcPr>
            <w:tcW w:type="dxa" w:w="145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2937"/>
                <w:sz w:val="17"/>
              </w:rPr>
              <w:t>StruBERT</w:t>
            </w:r>
          </w:p>
        </w:tc>
        <w:tc>
          <w:tcPr>
            <w:tcW w:type="dxa" w:w="12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44.94M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Row-view and column-view sequences</w:t>
            </w:r>
          </w:p>
        </w:tc>
        <w:tc>
          <w:tcPr>
            <w:tcW w:type="dxa" w:w="34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Attention over row summaries and column summaries</w:t>
            </w:r>
          </w:p>
        </w:tc>
      </w:tr>
      <w:tr>
        <w:tc>
          <w:tcPr>
            <w:tcW w:type="dxa" w:w="145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2937"/>
                <w:sz w:val="17"/>
              </w:rPr>
              <w:t>HyTrel</w:t>
            </w:r>
          </w:p>
        </w:tc>
        <w:tc>
          <w:tcPr>
            <w:tcW w:type="dxa" w:w="125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46.12M</w:t>
            </w:r>
          </w:p>
        </w:tc>
        <w:tc>
          <w:tcPr>
            <w:tcW w:type="dxa" w:w="320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One mean-pooled node per cell</w:t>
            </w:r>
          </w:p>
        </w:tc>
        <w:tc>
          <w:tcPr>
            <w:tcW w:type="dxa" w:w="34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Cell ↔ row/column/table hyperedges</w:t>
            </w:r>
          </w:p>
        </w:tc>
      </w:tr>
    </w:tbl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Method Profiles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Croissant: FiLM Table Encoder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Trainable table-side parameters: </w:t>
      </w:r>
      <w:r>
        <w:rPr>
          <w:rFonts w:ascii="Calibri" w:hAnsi="Calibri"/>
          <w:i w:val="0"/>
          <w:color w:val="1F2937"/>
          <w:sz w:val="21"/>
        </w:rPr>
        <w:t>15.38M for the current k=768, three-layer FiLM configuration. The three TableLayers contribute 14.20M; the shared text projection contributes 0.295M; FiLM content/generator layers contribute 0.887M.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Initial cell representation: </w:t>
      </w:r>
      <w:r>
        <w:rPr>
          <w:rFonts w:ascii="Calibri" w:hAnsi="Calibri"/>
          <w:i w:val="0"/>
          <w:color w:val="1F2937"/>
          <w:sz w:val="21"/>
        </w:rPr>
        <w:t>Frozen BERT encodes cell text and its column header independently. Both are projected to 384 dimensions. Header text supplies per-channel FiLM controls: cell(i,j) = (1 + gamma(header_j)) × content(cell_i,j) + beta(header_j).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Contextualization: </w:t>
      </w:r>
      <w:r>
        <w:rPr>
          <w:rFonts w:ascii="Calibri" w:hAnsi="Calibri"/>
          <w:i w:val="0"/>
          <w:color w:val="1F2937"/>
          <w:sz w:val="21"/>
        </w:rPr>
        <w:t>Each TableLayer keeps a row-resolved tensor X[batch, column, row, channel]. First, three learned channel-mixing matrices form Q, K, and V. Q and K each use a gated row-GRAM operation within a column: row pairs are compared inside each head, producing row-aware Q/K states. Next, column j attends to column t using similarity summed across their aligned rows and head channels. Attention weights choose source columns, but V[t,row] is read at the same row index, so every cell remains row-resolved. A pointwise 768→1536→768 ChannelMix MLP then mixes channels at each cell independently.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Output cell state: </w:t>
      </w:r>
      <w:r>
        <w:rPr>
          <w:rFonts w:ascii="Calibri" w:hAnsi="Calibri"/>
          <w:i w:val="0"/>
          <w:color w:val="1F2937"/>
          <w:sz w:val="21"/>
        </w:rPr>
        <w:t>The final state X[i,j] is already the contextualized retrieval cell embedding. No row or column summary is substituted for an individual cell.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Plain BERT Baseline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Trainable table-side parameters: </w:t>
      </w:r>
      <w:r>
        <w:rPr>
          <w:rFonts w:ascii="Calibri" w:hAnsi="Calibri"/>
          <w:i w:val="0"/>
          <w:color w:val="1F2937"/>
          <w:sz w:val="21"/>
        </w:rPr>
        <w:t>49,216: the final 768→64 adapter only.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Initial cell representation: </w:t>
      </w:r>
      <w:r>
        <w:rPr>
          <w:rFonts w:ascii="Calibri" w:hAnsi="Calibri"/>
          <w:i w:val="0"/>
          <w:color w:val="1F2937"/>
          <w:sz w:val="21"/>
        </w:rPr>
        <w:t>Cell (i,j) is serialized as ‘header_j : value_i,j’. All cell serializations are placed in one flat table sequence, while start/end token spans are retained for each cell.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Contextualization: </w:t>
      </w:r>
      <w:r>
        <w:rPr>
          <w:rFonts w:ascii="Calibri" w:hAnsi="Calibri"/>
          <w:i w:val="0"/>
          <w:color w:val="1F2937"/>
          <w:sz w:val="21"/>
        </w:rPr>
        <w:t>Standard full self-attention is applied to every table token. Tokens have no explicit row/column relation beyond their serialized order. Each cell receives global context only indirectly through token attention.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Output cell state: </w:t>
      </w:r>
      <w:r>
        <w:rPr>
          <w:rFonts w:ascii="Calibri" w:hAnsi="Calibri"/>
          <w:i w:val="0"/>
          <w:color w:val="1F2937"/>
          <w:sz w:val="21"/>
        </w:rPr>
        <w:t>Mean-pool the final hidden states in that cell’s token span. A truncated or absent span falls back to the sequence [CLS] vector.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TAPAS Baseline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Trainable table-side parameters: </w:t>
      </w:r>
      <w:r>
        <w:rPr>
          <w:rFonts w:ascii="Calibri" w:hAnsi="Calibri"/>
          <w:i w:val="0"/>
          <w:color w:val="1F2937"/>
          <w:sz w:val="21"/>
        </w:rPr>
        <w:t>49,216: the final 768→64 adapter only.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Initial cell representation: </w:t>
      </w:r>
      <w:r>
        <w:rPr>
          <w:rFonts w:ascii="Calibri" w:hAnsi="Calibri"/>
          <w:i w:val="0"/>
          <w:color w:val="1F2937"/>
          <w:sz w:val="21"/>
        </w:rPr>
        <w:t>TapasTokenizer linearizes a table and creates token IDs plus seven structural channels, including segment, column, row, rank, inverse rank, and numeric-relation IDs.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Contextualization: </w:t>
      </w:r>
      <w:r>
        <w:rPr>
          <w:rFonts w:ascii="Calibri" w:hAnsi="Calibri"/>
          <w:i w:val="0"/>
          <w:color w:val="1F2937"/>
          <w:sz w:val="21"/>
        </w:rPr>
        <w:t>TAPAS uses ordinary full Transformer attention over the full linearized sequence. It does not separately run a column-attention or row-attention block; table structure is injected through the added structural embeddings at the input of the Transformer.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Output cell state: </w:t>
      </w:r>
      <w:r>
        <w:rPr>
          <w:rFonts w:ascii="Calibri" w:hAnsi="Calibri"/>
          <w:i w:val="0"/>
          <w:color w:val="1F2937"/>
          <w:sz w:val="21"/>
        </w:rPr>
        <w:t>Final token states are scatter-mean pooled by their TAPAS row and column IDs. Tokens whose IDs are not a valid data-cell coordinate do not contribute.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TURL Baseline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Trainable table-side parameters: </w:t>
      </w:r>
      <w:r>
        <w:rPr>
          <w:rFonts w:ascii="Calibri" w:hAnsi="Calibri"/>
          <w:i w:val="0"/>
          <w:color w:val="1F2937"/>
          <w:sz w:val="21"/>
        </w:rPr>
        <w:t>21.31M: three 768-wide masked Transformer layers plus the 768→64 adapter.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Initial cell representation: </w:t>
      </w:r>
      <w:r>
        <w:rPr>
          <w:rFonts w:ascii="Calibri" w:hAnsi="Calibri"/>
          <w:i w:val="0"/>
          <w:color w:val="1F2937"/>
          <w:sz w:val="21"/>
        </w:rPr>
        <w:t>Each text-only cell is first mean-pooled over its word embeddings and becomes one cell node. Caption and header text remain token-level metadata nodes. [CLS] is the first, global table-summary node.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Contextualization: </w:t>
      </w:r>
      <w:r>
        <w:rPr>
          <w:rFonts w:ascii="Calibri" w:hAnsi="Calibri"/>
          <w:i w:val="0"/>
          <w:color w:val="1F2937"/>
          <w:sz w:val="21"/>
        </w:rPr>
        <w:t>The visibility mask controls Transformer attention. [CLS] and caption tokens are global. A header token is column-local. Cell (i,j) can attend to cells in row i, cells in column j, its column header, and global metadata; unrelated cells are masked. The Transformer therefore updates an actual cell node from structural neighbours.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Output cell state: </w:t>
      </w:r>
      <w:r>
        <w:rPr>
          <w:rFonts w:ascii="Calibri" w:hAnsi="Calibri"/>
          <w:i w:val="0"/>
          <w:color w:val="1F2937"/>
          <w:sz w:val="21"/>
        </w:rPr>
        <w:t>The final hidden state at the cell node is the cell embedding. The final [CLS] state is the table embedding.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TABBIE Baseline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Trainable table-side parameters: </w:t>
      </w:r>
      <w:r>
        <w:rPr>
          <w:rFonts w:ascii="Calibri" w:hAnsi="Calibri"/>
          <w:i w:val="0"/>
          <w:color w:val="1F2937"/>
          <w:sz w:val="21"/>
        </w:rPr>
        <w:t>42.73M: three rounds, each with one row Transformer and one column Transformer, plus positional/CLS parameters and the final adapter.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Initial cell representation: </w:t>
      </w:r>
      <w:r>
        <w:rPr>
          <w:rFonts w:ascii="Calibri" w:hAnsi="Calibri"/>
          <w:i w:val="0"/>
          <w:color w:val="1F2937"/>
          <w:sz w:val="21"/>
        </w:rPr>
        <w:t>Each data cell and each header is independently encoded to a vector. Headers are inserted as row 0, yielding an (R+1) × C grid.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Contextualization: </w:t>
      </w:r>
      <w:r>
        <w:rPr>
          <w:rFonts w:ascii="Calibri" w:hAnsi="Calibri"/>
          <w:i w:val="0"/>
          <w:color w:val="1F2937"/>
          <w:sz w:val="21"/>
        </w:rPr>
        <w:t>At each round, every row independently becomes a Transformer sequence with a learned row-CLS token; this contextualizes cells across columns in that row. Every column independently becomes a Transformer sequence with a learned column-CLS token; this contextualizes data cells across rows and includes the header at row 0. The row and column updates for each cell are averaged and passed to the next round.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Output cell state: </w:t>
      </w:r>
      <w:r>
        <w:rPr>
          <w:rFonts w:ascii="Calibri" w:hAnsi="Calibri"/>
          <w:i w:val="0"/>
          <w:color w:val="1F2937"/>
          <w:sz w:val="21"/>
        </w:rPr>
        <w:t>The final grid entry for data coordinate (i,j) is the cell embedding. Final row-CLS and column-CLS vectors provide row/column summaries.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StruBERT Baseline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Trainable table-side parameters: </w:t>
      </w:r>
      <w:r>
        <w:rPr>
          <w:rFonts w:ascii="Calibri" w:hAnsi="Calibri"/>
          <w:i w:val="0"/>
          <w:color w:val="1F2937"/>
          <w:sz w:val="21"/>
        </w:rPr>
        <w:t>44.94M: three vertical and three horizontal 768-wide Transformer layers, a 4D→D fusion projection, and the final adapter.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Initial cell representation: </w:t>
      </w:r>
      <w:r>
        <w:rPr>
          <w:rFonts w:ascii="Calibri" w:hAnsi="Calibri"/>
          <w:i w:val="0"/>
          <w:color w:val="1F2937"/>
          <w:sz w:val="21"/>
        </w:rPr>
        <w:t>Each cell is serialized as ‘header_j type_j value_i,j’. The model constructs C column-view sequences (one per column) and R row-view sequences (one per row); optional caption text is prefixed to each sequence.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Contextualization: </w:t>
      </w:r>
      <w:r>
        <w:rPr>
          <w:rFonts w:ascii="Calibri" w:hAnsi="Calibri"/>
          <w:i w:val="0"/>
          <w:color w:val="1F2937"/>
          <w:sz w:val="21"/>
        </w:rPr>
        <w:t>Frozen BERT first contextualizes tokens inside each row-view and column-view sequence. The implementation then creates one fine vector and one coarse [CLS] vector for each sequence. A vertical Transformer contextualizes the C column fine vectors against one another; a horizontal Transformer contextualizes the R row fine vectors against one another. This structural stage works on row/column summaries, not on a persistent distinct state for each cell.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Output cell state: </w:t>
      </w:r>
      <w:r>
        <w:rPr>
          <w:rFonts w:ascii="Calibri" w:hAnsi="Calibri"/>
          <w:i w:val="0"/>
          <w:color w:val="1F2937"/>
          <w:sz w:val="21"/>
        </w:rPr>
        <w:t>Cell (i,j) is reconstructed as one half contextualized row i plus one half contextualized column j. The table vector fuses the mean contextualized row vector, mean contextualized column vector, mean row-view [CLS], and mean column-view [CLS].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2E74B5"/>
          <w:sz w:val="26"/>
        </w:rPr>
        <w:t>HyTrel Baseline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Trainable table-side parameters: </w:t>
      </w:r>
      <w:r>
        <w:rPr>
          <w:rFonts w:ascii="Calibri" w:hAnsi="Calibri"/>
          <w:i w:val="0"/>
          <w:color w:val="1F2937"/>
          <w:sz w:val="21"/>
        </w:rPr>
        <w:t>46.12M: three V2E/E2V attention rounds, each with two attention-pooling blocks and one fusion projection, plus the final adapter.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Initial cell representation: </w:t>
      </w:r>
      <w:r>
        <w:rPr>
          <w:rFonts w:ascii="Calibri" w:hAnsi="Calibri"/>
          <w:i w:val="0"/>
          <w:color w:val="1F2937"/>
          <w:sz w:val="21"/>
        </w:rPr>
        <w:t>Each cell is mean-pooled from its word embeddings into a graph node. Each row, each column, and the full table form hyperedges. Row hyperedges begin from a learned [ROW] vector; column hyperedges begin from header text; the table hyperedge begins from caption text or a missing-caption token.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Contextualization: </w:t>
      </w:r>
      <w:r>
        <w:rPr>
          <w:rFonts w:ascii="Calibri" w:hAnsi="Calibri"/>
          <w:i w:val="0"/>
          <w:color w:val="1F2937"/>
          <w:sz w:val="21"/>
        </w:rPr>
        <w:t>In V2E, every hyperedge attention-pools over its member cell nodes and fuses the update with its prior state. In E2V, each cell node attention-pools over exactly three incident hyperedges: its row, its column, and the full table. Repeating this passes row, column, and global context to every cell while preserving permutation invariance.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Output cell state: </w:t>
      </w:r>
      <w:r>
        <w:rPr>
          <w:rFonts w:ascii="Calibri" w:hAnsi="Calibri"/>
          <w:i w:val="0"/>
          <w:color w:val="1F2937"/>
          <w:sz w:val="21"/>
        </w:rPr>
        <w:t>The final cell node is the cell embedding. Row, column, and table hyperedge states are the corresponding summaries.</w:t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Where the Trainable Parameters Concentrate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Croissant FiLM: </w:t>
      </w:r>
      <w:r>
        <w:rPr>
          <w:rFonts w:ascii="Calibri" w:hAnsi="Calibri"/>
          <w:i w:val="0"/>
          <w:color w:val="1F2937"/>
          <w:sz w:val="21"/>
        </w:rPr>
        <w:t>Per TableLayer, the large matrices are Q/K/V channel mixing (3k²), cross-column output mixing (k²), and the pointwise ChannelMix MLP (k→2k→k, or 4k²). At k=768, one TableLayer has 4.73M parameters; the projection/FiLM front end adds 1.18M across the model.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Transformer baselines: </w:t>
      </w:r>
      <w:r>
        <w:rPr>
          <w:rFonts w:ascii="Calibri" w:hAnsi="Calibri"/>
          <w:i w:val="0"/>
          <w:color w:val="1F2937"/>
          <w:sz w:val="21"/>
        </w:rPr>
        <w:t>A conventional 768-wide Transformer layer has four attention projections (4D²) and a D→4D→D feed-forward network (8D²). Thus its feed-forward network carries two-thirds of the large matrix weights. TABBIE and StruBERT use two such structural stacks per round; TURL uses one; HyTrel uses two attention-pooling blocks plus fusion.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Interpretation: </w:t>
      </w:r>
      <w:r>
        <w:rPr>
          <w:rFonts w:ascii="Calibri" w:hAnsi="Calibri"/>
          <w:i w:val="0"/>
          <w:color w:val="1F2937"/>
          <w:sz w:val="21"/>
        </w:rPr>
        <w:t>At k=768, Croissant’s table stack is meaningful but smaller than the standard baselines’ structural stacks. At k=64, its table stack becomes far smaller because width-dependent matrices scale quadratically; however, the current FiLM evaluation checkpoint is k=768.</w:t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Implementation Notes</w:t>
      </w:r>
    </w:p>
    <w:p>
      <w:pPr>
        <w:pStyle w:val="ListBullet"/>
        <w:spacing w:after="60" w:line="276" w:lineRule="auto"/>
      </w:pPr>
      <w:r>
        <w:rPr>
          <w:rFonts w:ascii="Calibri" w:hAnsi="Calibri"/>
          <w:i w:val="0"/>
          <w:color w:val="1F2937"/>
          <w:sz w:val="21"/>
        </w:rPr>
        <w:t>The active Croissant path is TableLayer in src/models/table_encoder.py. src/models/rcpe.py is not wired into the active TableEncoder path; references to ‘RCPE’ in configuration comments are stale.</w:t>
      </w:r>
    </w:p>
    <w:p>
      <w:pPr>
        <w:pStyle w:val="ListBullet"/>
        <w:spacing w:after="60" w:line="276" w:lineRule="auto"/>
      </w:pPr>
      <w:r>
        <w:rPr>
          <w:rFonts w:ascii="Calibri" w:hAnsi="Calibri"/>
          <w:i w:val="0"/>
          <w:color w:val="1F2937"/>
          <w:sz w:val="21"/>
        </w:rPr>
        <w:t>TAPAS and plain BERT have no trainable table-specific structural stack in this repository. Their listed trainable count is the final adapter.</w:t>
      </w:r>
    </w:p>
    <w:p>
      <w:pPr>
        <w:pStyle w:val="ListBullet"/>
        <w:spacing w:after="60" w:line="276" w:lineRule="auto"/>
      </w:pPr>
      <w:r>
        <w:rPr>
          <w:rFonts w:ascii="Calibri" w:hAnsi="Calibri"/>
          <w:i w:val="0"/>
          <w:color w:val="1F2937"/>
          <w:sz w:val="21"/>
        </w:rPr>
        <w:t>TABBIE and StruBERT batch and cache their frozen BERT feature extraction. TURL and HyTrel still execute their trainable structural network table-by-table. TAPAS is fully table-cacheable after its frozen output has been materialized.</w:t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Reference Papers</w:t>
      </w:r>
    </w:p>
    <w:p>
      <w:pPr>
        <w:spacing w:after="0"/>
      </w:pPr>
      <w:r>
        <w:rPr>
          <w:rFonts w:ascii="Calibri" w:hAnsi="Calibri"/>
          <w:i w:val="0"/>
          <w:color w:val="5B6573"/>
          <w:sz w:val="17"/>
        </w:rPr>
        <w:t>TABBIE: Pretrained Representations of Tabular Data — https://arxiv.org/abs/2105.02584</w:t>
      </w:r>
    </w:p>
    <w:p>
      <w:pPr>
        <w:spacing w:after="0"/>
      </w:pPr>
      <w:r>
        <w:rPr>
          <w:rFonts w:ascii="Calibri" w:hAnsi="Calibri"/>
          <w:i w:val="0"/>
          <w:color w:val="5B6573"/>
          <w:sz w:val="17"/>
        </w:rPr>
        <w:t>StruBERT: Structure-aware BERT for Table Search and Matching — https://arxiv.org/abs/2203.14278</w:t>
      </w:r>
    </w:p>
    <w:p>
      <w:pPr>
        <w:spacing w:after="0"/>
      </w:pPr>
      <w:r>
        <w:rPr>
          <w:rFonts w:ascii="Calibri" w:hAnsi="Calibri"/>
          <w:i w:val="0"/>
          <w:color w:val="5B6573"/>
          <w:sz w:val="17"/>
        </w:rPr>
        <w:t>TAPAS: Weakly Supervised Table Parsing via Pre-training — https://arxiv.org/abs/2004.02349</w:t>
      </w:r>
    </w:p>
    <w:p>
      <w:pPr>
        <w:spacing w:after="0"/>
      </w:pPr>
      <w:r>
        <w:rPr>
          <w:rFonts w:ascii="Calibri" w:hAnsi="Calibri"/>
          <w:i w:val="0"/>
          <w:color w:val="5B6573"/>
          <w:sz w:val="17"/>
        </w:rPr>
        <w:t>TURL: Table Understanding through Representation Learning — https://www.vldb.org/pvldb/vol14/p307-deng.pdf</w:t>
      </w:r>
    </w:p>
    <w:p>
      <w:pPr>
        <w:spacing w:after="0"/>
      </w:pPr>
      <w:r>
        <w:rPr>
          <w:rFonts w:ascii="Calibri" w:hAnsi="Calibri"/>
          <w:i w:val="0"/>
          <w:color w:val="5B6573"/>
          <w:sz w:val="17"/>
        </w:rPr>
        <w:t>HyTrel: Hypergraph-enhanced Tabular Data Representation Learning — https://arxiv.org/abs/2307.08623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i w:val="0"/>
        <w:color w:val="5B6573"/>
        <w:sz w:val="17"/>
      </w:rPr>
      <w:t>Implementation summary •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i w:val="0"/>
        <w:color w:val="5B6573"/>
        <w:sz w:val="17"/>
      </w:rPr>
      <w:t>CROISSANT • TABLE ENCODER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