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6AFE" w14:textId="54177AA1" w:rsidR="00EB4BC4" w:rsidRPr="00E7569E" w:rsidRDefault="0024155C" w:rsidP="00722291">
      <w:pPr>
        <w:bidi/>
        <w:rPr>
          <w:rFonts w:cs="ManaraDocs Amatti Font"/>
          <w:sz w:val="24"/>
          <w:szCs w:val="24"/>
          <w:rtl/>
        </w:rPr>
      </w:pPr>
      <w:r w:rsidRPr="00E7569E">
        <w:rPr>
          <w:rFonts w:cs="ManaraDocs Amatti Fon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2F17" wp14:editId="164F29E8">
            <wp:simplePos x="0" y="0"/>
            <wp:positionH relativeFrom="column">
              <wp:posOffset>3091180</wp:posOffset>
            </wp:positionH>
            <wp:positionV relativeFrom="paragraph">
              <wp:posOffset>-37493</wp:posOffset>
            </wp:positionV>
            <wp:extent cx="838946" cy="8389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946" cy="8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91" w:rsidRPr="00E7569E">
        <w:rPr>
          <w:rFonts w:cs="ManaraDocs Amatti Font" w:hint="cs"/>
          <w:sz w:val="24"/>
          <w:szCs w:val="24"/>
          <w:rtl/>
        </w:rPr>
        <w:t xml:space="preserve">مديرية التّربية لولاية بجاية                                                                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</w:t>
      </w:r>
      <w:r w:rsidR="00722291" w:rsidRPr="00E7569E">
        <w:rPr>
          <w:rFonts w:cs="ManaraDocs Amatti Font" w:hint="cs"/>
          <w:sz w:val="24"/>
          <w:szCs w:val="24"/>
          <w:rtl/>
        </w:rPr>
        <w:t xml:space="preserve">  الأستاذ:</w:t>
      </w:r>
    </w:p>
    <w:p w14:paraId="3046A86C" w14:textId="587962E3" w:rsidR="0024155C" w:rsidRPr="00E7569E" w:rsidRDefault="00722291" w:rsidP="00EF64AD">
      <w:pPr>
        <w:tabs>
          <w:tab w:val="left" w:pos="6582"/>
        </w:tabs>
        <w:bidi/>
        <w:rPr>
          <w:rFonts w:cs="ManaraDocs Amatti Font"/>
          <w:sz w:val="26"/>
          <w:szCs w:val="26"/>
          <w:rtl/>
        </w:rPr>
      </w:pPr>
      <w:r w:rsidRPr="00E7569E">
        <w:rPr>
          <w:rFonts w:cs="ManaraDocs Amatti Font" w:hint="cs"/>
          <w:sz w:val="24"/>
          <w:szCs w:val="24"/>
          <w:rtl/>
        </w:rPr>
        <w:t xml:space="preserve">مدرسة :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                           </w:t>
      </w:r>
      <w:r w:rsidR="00EF64AD" w:rsidRPr="00E7569E">
        <w:rPr>
          <w:rFonts w:cs="ManaraDocs Amatti Font"/>
          <w:sz w:val="24"/>
          <w:szCs w:val="24"/>
          <w:rtl/>
        </w:rPr>
        <w:tab/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الموسم الدّراسي </w:t>
      </w:r>
      <w:r w:rsidR="00EF64AD" w:rsidRPr="00E7569E">
        <w:rPr>
          <w:rFonts w:cs="ManaraDocs Amatti Font" w:hint="cs"/>
          <w:sz w:val="26"/>
          <w:szCs w:val="26"/>
          <w:rtl/>
        </w:rPr>
        <w:t>:</w:t>
      </w:r>
      <w:r w:rsidR="00E113BA">
        <w:rPr>
          <w:rFonts w:cs="ManaraDocs Amatti Font" w:hint="cs"/>
          <w:sz w:val="26"/>
          <w:szCs w:val="26"/>
          <w:rtl/>
        </w:rPr>
        <w:t xml:space="preserve"> 2023-2024</w:t>
      </w:r>
    </w:p>
    <w:p w14:paraId="1FE0E415" w14:textId="3EE9DCFE" w:rsidR="00722291" w:rsidRPr="00A52A77" w:rsidRDefault="00E7569E" w:rsidP="00E7569E">
      <w:pPr>
        <w:bidi/>
        <w:jc w:val="center"/>
        <w:rPr>
          <w:rFonts w:cs="Al-Kharashi 20"/>
          <w:sz w:val="28"/>
          <w:szCs w:val="28"/>
        </w:rPr>
      </w:pPr>
      <w:r w:rsidRPr="00A52A77">
        <w:rPr>
          <w:rFonts w:cs="Al-Kharashi 20" w:hint="cs"/>
          <w:sz w:val="28"/>
          <w:szCs w:val="28"/>
          <w:rtl/>
        </w:rPr>
        <w:t>وزارة التّربية الوطنية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86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  <w:gridCol w:w="396"/>
        <w:gridCol w:w="397"/>
      </w:tblGrid>
      <w:tr w:rsidR="00E37377" w14:paraId="638FE092" w14:textId="77777777" w:rsidTr="00F50B77">
        <w:tc>
          <w:tcPr>
            <w:tcW w:w="11102" w:type="dxa"/>
            <w:gridSpan w:val="25"/>
          </w:tcPr>
          <w:p w14:paraId="1F5D90FC" w14:textId="7351F7E4" w:rsidR="00E37377" w:rsidRPr="0024155C" w:rsidRDefault="00E37377" w:rsidP="00E37377">
            <w:pPr>
              <w:bidi/>
              <w:jc w:val="center"/>
              <w:rPr>
                <w:rFonts w:cs="ManaraDocs Amatti Font"/>
                <w:rtl/>
                <w:lang w:val="fr-FR"/>
              </w:rPr>
            </w:pPr>
            <w:r w:rsidRPr="0024155C">
              <w:rPr>
                <w:rFonts w:cs="ManaraDocs Amatti Font" w:hint="cs"/>
                <w:sz w:val="28"/>
                <w:szCs w:val="28"/>
                <w:rtl/>
                <w:lang w:val="fr-FR"/>
              </w:rPr>
              <w:t xml:space="preserve">بطاقة تحليلية لتقييم الكفاءات الختامية: اللغة العربية </w:t>
            </w:r>
            <w:r w:rsidRPr="0024155C">
              <w:rPr>
                <w:rFonts w:cs="ManaraDocs Amatti Font"/>
                <w:sz w:val="28"/>
                <w:szCs w:val="28"/>
                <w:rtl/>
                <w:lang w:val="fr-FR"/>
              </w:rPr>
              <w:t>–</w:t>
            </w:r>
            <w:r w:rsidRPr="0024155C">
              <w:rPr>
                <w:rFonts w:cs="ManaraDocs Amatti Font" w:hint="cs"/>
                <w:sz w:val="28"/>
                <w:szCs w:val="28"/>
                <w:rtl/>
                <w:lang w:val="fr-FR"/>
              </w:rPr>
              <w:t xml:space="preserve"> فهم الخطاب والتّواصل الشّفوي -</w:t>
            </w:r>
          </w:p>
        </w:tc>
      </w:tr>
      <w:tr w:rsidR="00332B72" w14:paraId="3A381842" w14:textId="77777777" w:rsidTr="003063F5">
        <w:tc>
          <w:tcPr>
            <w:tcW w:w="1586" w:type="dxa"/>
            <w:vMerge w:val="restart"/>
            <w:tcBorders>
              <w:tr2bl w:val="single" w:sz="4" w:space="0" w:color="auto"/>
            </w:tcBorders>
          </w:tcPr>
          <w:p w14:paraId="21A736C1" w14:textId="77777777" w:rsidR="00332B72" w:rsidRDefault="00332B72" w:rsidP="003063F5">
            <w:pPr>
              <w:bidi/>
              <w:jc w:val="center"/>
              <w:rPr>
                <w:rtl/>
                <w:lang w:val="fr-FR"/>
              </w:rPr>
            </w:pPr>
          </w:p>
        </w:tc>
        <w:tc>
          <w:tcPr>
            <w:tcW w:w="1586" w:type="dxa"/>
            <w:gridSpan w:val="4"/>
            <w:tcBorders>
              <w:bottom w:val="double" w:sz="6" w:space="0" w:color="FF0000"/>
              <w:right w:val="double" w:sz="6" w:space="0" w:color="FF0000"/>
            </w:tcBorders>
            <w:vAlign w:val="center"/>
          </w:tcPr>
          <w:p w14:paraId="26EC4B4E" w14:textId="32D78DBA" w:rsidR="00332B72" w:rsidRPr="0024155C" w:rsidRDefault="00332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 w:bidi="ar-DZ"/>
              </w:rPr>
            </w:pPr>
            <w:r w:rsidRPr="0024155C">
              <w:rPr>
                <w:rFonts w:ascii="Simplified Arabic" w:hAnsi="Simplified Arabic" w:cs="Simplified Arabic"/>
                <w:rtl/>
                <w:lang w:val="fr-FR" w:bidi="ar-DZ"/>
              </w:rPr>
              <w:t>الالتزام بآداب الاستماع والتّحدّث</w:t>
            </w:r>
          </w:p>
        </w:tc>
        <w:tc>
          <w:tcPr>
            <w:tcW w:w="1586" w:type="dxa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5211A3DC" w14:textId="54CBF610" w:rsidR="00332B72" w:rsidRPr="00907B6E" w:rsidRDefault="00332B72" w:rsidP="00864F88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val="fr-FR"/>
              </w:rPr>
            </w:pPr>
            <w:r w:rsidRPr="00907B6E">
              <w:rPr>
                <w:rFonts w:ascii="Simplified Arabic" w:hAnsi="Simplified Arabic" w:cs="Simplified Arabic"/>
                <w:sz w:val="20"/>
                <w:szCs w:val="20"/>
                <w:rtl/>
                <w:lang w:val="fr-FR"/>
              </w:rPr>
              <w:t>إدراك موضوع الخطاب وفقرة الأساسية</w:t>
            </w:r>
          </w:p>
        </w:tc>
        <w:tc>
          <w:tcPr>
            <w:tcW w:w="1586" w:type="dxa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09C8156D" w14:textId="19F499C2" w:rsidR="00332B72" w:rsidRPr="0024155C" w:rsidRDefault="00332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 w:rsidRPr="0024155C">
              <w:rPr>
                <w:rFonts w:ascii="Simplified Arabic" w:hAnsi="Simplified Arabic" w:cs="Simplified Arabic"/>
                <w:rtl/>
                <w:lang w:val="fr-FR"/>
              </w:rPr>
              <w:t>تدوين رؤوس الأقلام</w:t>
            </w:r>
          </w:p>
        </w:tc>
        <w:tc>
          <w:tcPr>
            <w:tcW w:w="1586" w:type="dxa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5BEABCA7" w14:textId="10345697" w:rsidR="00332B72" w:rsidRPr="0024155C" w:rsidRDefault="00332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 w:rsidRPr="0024155C">
              <w:rPr>
                <w:rFonts w:ascii="Simplified Arabic" w:hAnsi="Simplified Arabic" w:cs="Simplified Arabic"/>
                <w:rtl/>
                <w:lang w:val="fr-FR"/>
              </w:rPr>
              <w:t>التّجاوب مع التّعليمات</w:t>
            </w:r>
          </w:p>
        </w:tc>
        <w:tc>
          <w:tcPr>
            <w:tcW w:w="1586" w:type="dxa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57544C80" w14:textId="2880ABE0" w:rsidR="00332B72" w:rsidRPr="0024155C" w:rsidRDefault="00332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 w:rsidRPr="0024155C">
              <w:rPr>
                <w:rFonts w:ascii="Simplified Arabic" w:hAnsi="Simplified Arabic" w:cs="Simplified Arabic"/>
                <w:rtl/>
                <w:lang w:val="fr-FR"/>
              </w:rPr>
              <w:t>الاسترسال وسلامة لغة التّواصل</w:t>
            </w:r>
          </w:p>
        </w:tc>
        <w:tc>
          <w:tcPr>
            <w:tcW w:w="1586" w:type="dxa"/>
            <w:gridSpan w:val="4"/>
            <w:tcBorders>
              <w:left w:val="double" w:sz="6" w:space="0" w:color="FF0000"/>
            </w:tcBorders>
            <w:vAlign w:val="center"/>
          </w:tcPr>
          <w:p w14:paraId="5807B1AD" w14:textId="59B1C188" w:rsidR="00332B72" w:rsidRPr="00864F88" w:rsidRDefault="00332B72" w:rsidP="00864F88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val="fr-FR"/>
              </w:rPr>
            </w:pPr>
            <w:r w:rsidRPr="00864F88">
              <w:rPr>
                <w:rFonts w:ascii="Simplified Arabic" w:hAnsi="Simplified Arabic" w:cs="Simplified Arabic"/>
                <w:sz w:val="20"/>
                <w:szCs w:val="20"/>
                <w:rtl/>
                <w:lang w:val="fr-FR"/>
              </w:rPr>
              <w:t>توظيف الدّلالات اللّفظية وغير اللّفظية</w:t>
            </w:r>
          </w:p>
        </w:tc>
      </w:tr>
      <w:tr w:rsidR="003063F5" w:rsidRPr="00332B72" w14:paraId="523E67C7" w14:textId="77777777" w:rsidTr="00C64E2A">
        <w:tc>
          <w:tcPr>
            <w:tcW w:w="1586" w:type="dxa"/>
            <w:vMerge/>
            <w:tcBorders>
              <w:tr2bl w:val="single" w:sz="4" w:space="0" w:color="auto"/>
            </w:tcBorders>
          </w:tcPr>
          <w:p w14:paraId="150770B9" w14:textId="48099A27" w:rsidR="00332B72" w:rsidRPr="00332B72" w:rsidRDefault="00332B72" w:rsidP="00E37377">
            <w:pPr>
              <w:bidi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6" w:space="0" w:color="FF0000"/>
            </w:tcBorders>
            <w:shd w:val="clear" w:color="auto" w:fill="00B050"/>
          </w:tcPr>
          <w:p w14:paraId="26CCA8F6" w14:textId="77777777" w:rsidR="00332B72" w:rsidRPr="00332B72" w:rsidRDefault="00332B72" w:rsidP="00332B72">
            <w:pPr>
              <w:bidi/>
              <w:jc w:val="center"/>
              <w:rPr>
                <w:color w:val="FF0000"/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147AA67C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6" w:space="0" w:color="FF0000"/>
            </w:tcBorders>
            <w:shd w:val="clear" w:color="auto" w:fill="FFC000"/>
          </w:tcPr>
          <w:p w14:paraId="4051909B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597C2D64" w14:textId="6D3F0C6D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53806B2E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009CB7B4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bottom w:val="double" w:sz="6" w:space="0" w:color="FF0000"/>
            </w:tcBorders>
            <w:shd w:val="clear" w:color="auto" w:fill="FFC000"/>
          </w:tcPr>
          <w:p w14:paraId="17402EC3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0BE63A69" w14:textId="26923ED0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7A7E7509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</w:tcBorders>
            <w:shd w:val="clear" w:color="auto" w:fill="92D050"/>
          </w:tcPr>
          <w:p w14:paraId="605CDDEB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bottom w:val="double" w:sz="6" w:space="0" w:color="FF0000"/>
            </w:tcBorders>
            <w:shd w:val="clear" w:color="auto" w:fill="F4B083" w:themeFill="accent2" w:themeFillTint="99"/>
          </w:tcPr>
          <w:p w14:paraId="65BA5FC1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1A5B82E6" w14:textId="25EC6F81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747CE2F4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</w:tcBorders>
            <w:shd w:val="clear" w:color="auto" w:fill="92D050"/>
          </w:tcPr>
          <w:p w14:paraId="761BA49F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bottom w:val="double" w:sz="6" w:space="0" w:color="FF0000"/>
            </w:tcBorders>
            <w:shd w:val="clear" w:color="auto" w:fill="FFC000"/>
          </w:tcPr>
          <w:p w14:paraId="1D875CE1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43B9603C" w14:textId="1FB817FC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411E3672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</w:tcBorders>
            <w:shd w:val="clear" w:color="auto" w:fill="92D050"/>
          </w:tcPr>
          <w:p w14:paraId="3F1B7E45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bottom w:val="double" w:sz="6" w:space="0" w:color="FF0000"/>
            </w:tcBorders>
            <w:shd w:val="clear" w:color="auto" w:fill="FFC000"/>
          </w:tcPr>
          <w:p w14:paraId="1CC7E227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39ADBDDB" w14:textId="10E1CA65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183F24BE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</w:tcBorders>
            <w:shd w:val="clear" w:color="auto" w:fill="92D050"/>
          </w:tcPr>
          <w:p w14:paraId="49714957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6" w:type="dxa"/>
            <w:tcBorders>
              <w:bottom w:val="double" w:sz="6" w:space="0" w:color="FF0000"/>
            </w:tcBorders>
            <w:shd w:val="clear" w:color="auto" w:fill="FFC000"/>
          </w:tcPr>
          <w:p w14:paraId="1A1770EA" w14:textId="77777777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97" w:type="dxa"/>
            <w:tcBorders>
              <w:bottom w:val="double" w:sz="6" w:space="0" w:color="FF0000"/>
            </w:tcBorders>
            <w:shd w:val="clear" w:color="auto" w:fill="FF0000"/>
          </w:tcPr>
          <w:p w14:paraId="59594F27" w14:textId="5020E006" w:rsidR="00332B72" w:rsidRPr="00332B72" w:rsidRDefault="00332B72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</w:tr>
      <w:tr w:rsidR="00332B72" w:rsidRPr="00332B72" w14:paraId="6C150D81" w14:textId="77777777" w:rsidTr="003063F5">
        <w:tc>
          <w:tcPr>
            <w:tcW w:w="1586" w:type="dxa"/>
            <w:tcBorders>
              <w:bottom w:val="double" w:sz="4" w:space="0" w:color="5B9BD5" w:themeColor="accent5"/>
            </w:tcBorders>
          </w:tcPr>
          <w:p w14:paraId="3F202A9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421787A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BBCA43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2EF44D1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500FA366" w14:textId="58C96AEA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6705B35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0BDD6F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DEC8AB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02FC5C25" w14:textId="74AE8A8A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1965C1D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FCAEBC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56C385A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2667B3FC" w14:textId="31154E33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4D32389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AB12CB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A0DD52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73709B65" w14:textId="00475FC8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43AE31A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0CB4B45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0B77E03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42066229" w14:textId="7972C9A2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39E3987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B5CCBA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1FD5E8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09F08B1A" w14:textId="0399AF38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21942D03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EB3FC6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7D45E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4F0A4A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E9C22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E61271" w14:textId="0C8FD223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8AE9D8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DE65B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7F1DCC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5E66F8" w14:textId="22685C6E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90B745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7B0DB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CAE73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A123D7" w14:textId="7D2900AA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C22C1B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6EE9F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6128A1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AE8D096" w14:textId="5D471CA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F2D902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00A02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D0DE76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96F066" w14:textId="4CB6E2F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534765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8ABB38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1415E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912DBC" w14:textId="2B3ED9C0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62069AB0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8F89E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99634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81835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995CF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9AA5D80" w14:textId="1AE6500B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AF993F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AF352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97677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D1D7A2" w14:textId="68485BE0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EB568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6413E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5C2CA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84A3D6A" w14:textId="77D15D0B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CE01F1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1494B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99D32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322E400" w14:textId="4763DB4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E321B4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4DFA1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180292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C919B55" w14:textId="34B6A70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71BD70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15321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2F4A3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00E2B8" w14:textId="23741379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37533783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6936B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F69A8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C01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3D9E1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64F016" w14:textId="78438FF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53484C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D6798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101ACA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5B3B29" w14:textId="2EF3ACAF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D3F39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34CE6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E0455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6F94C17" w14:textId="4C3BF933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F9F115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6998E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1B2B9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4E8F109" w14:textId="4B8B072C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2B33DD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58172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7C257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73D6F6" w14:textId="3B1D6B89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27694F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3E8F6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0FD53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20A7C67" w14:textId="758D8D6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6344B531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8569F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4B4B1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8CE67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71F15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F40011A" w14:textId="632E890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AAD699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97E6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C3240F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5771564" w14:textId="1C46FEE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7A806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E063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60D79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47C7A18" w14:textId="36DD6BBA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7C9247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89ED0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5838E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6649940" w14:textId="42AB1172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02DC3E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6C23E6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4DFDC9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C57FE5F" w14:textId="296B306E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53BB88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227FD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9007F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C65F59" w14:textId="3B4445EF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55ED2426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DF0B4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948A2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83B68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E4F2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C19BFC" w14:textId="7FDEACB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DFB3DC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A7D723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F5B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89D490" w14:textId="38F51A3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1C23F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9C1FD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7E004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2AC4CC4" w14:textId="405AD7F8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53403A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7CB06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8822C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709B45F" w14:textId="64C503EA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BF0DE6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91675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37595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A59910E" w14:textId="0D33EBFC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962A4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8DFBD4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6D398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1E9954" w14:textId="73ED4C5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7367D98F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90B09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D4A973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776D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B5EA0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D2F163" w14:textId="37A919AB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2B3978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C9DA5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C9CE1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8331B7" w14:textId="3081E82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97817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4E59F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DD56E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170FA6" w14:textId="3348815C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A6BE38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805656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0FD75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4C028CC" w14:textId="2E77F12C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150AF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53621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E66EC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E9FD9E" w14:textId="187F4F61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7DB341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698FB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BA94D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DB35244" w14:textId="0793456E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7ACADF5B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12418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B91F2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ED1F5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D8365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67C3C3" w14:textId="2C70BAC0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01B76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E6AA3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1CBCB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CDD7D9" w14:textId="52D65182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13752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8141A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C0E61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DE68AA" w14:textId="4CDDDA7B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44716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7BE6CE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65C65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620A84" w14:textId="114A379E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BAC34D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8742BB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BEF9B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E3A2BBE" w14:textId="0D8E6B0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06C436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61CE2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2EC04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ACDDEE" w14:textId="4B79F301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6F5E9E04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E7957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18762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78E5D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416741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5E470D" w14:textId="4628E650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8DE137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9D779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0116D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9D8C6D8" w14:textId="5EC8CFF0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1B64C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F56F9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C7037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C510F88" w14:textId="5B9F44B3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0C21E7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182D7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4955E2A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CCD9DB0" w14:textId="1F70ADA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B59CA9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BDAB1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597FF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7273524" w14:textId="489EB38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47052A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1F29A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8CED5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2E7580" w14:textId="6B0B1D4F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0EEE994B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BE0FCA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42BD69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6944C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7F714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49A6F4" w14:textId="49D2E25C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C3D4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48EE4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EA90F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96A407" w14:textId="4A2E122E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5E0414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34C95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1CB6D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B1F5BAA" w14:textId="66271F14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4F1A8E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94C0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17A062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D0C484B" w14:textId="5D9B2BF1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FE8D3F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19AC9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FFC7B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B3E66A7" w14:textId="30BD0EAD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6EE807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C35CC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CB085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F4BC74" w14:textId="11384652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32B72" w:rsidRPr="00332B72" w14:paraId="62CC4C3C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7B7C2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51796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1AA791F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F56FE8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655EC70" w14:textId="23CC7281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5E2061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11AD2D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2D6FF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5C2E46" w14:textId="048B0F99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F7E6D9C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3FC640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A5512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0680600" w14:textId="05447D0F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C4F25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92FEB3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421137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BB0E48" w14:textId="1525C360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DB6901E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C3C7FB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DBD666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01FC9A8" w14:textId="685AC7F9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9A13115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E4DAB4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1A710B1" w14:textId="77777777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880248" w14:textId="1CC26B75" w:rsidR="00332B72" w:rsidRPr="003063F5" w:rsidRDefault="00332B72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032BB7B9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49F69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7862E5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AC828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17E3A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859ED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2B6CC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AF903D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15C24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C9D50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0FF890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39811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719AF7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F6C272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26668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38D3D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24984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4F3E32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5DD11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2C3B1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E407B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081AC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CF8C37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70D29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4C345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80B1A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74EF0E25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33F13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6B905D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21476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BCBC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87B1D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5BF557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3E521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E09F2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946E16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F43044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9076D3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66A0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44EFA4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4E3ED7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71A34F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6DD04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6DCF02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4F56A9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06468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CD24B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E06D26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6C39E2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9710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50241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86080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503E00AB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FE893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2F2D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8B4FF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86939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D9B75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C5A6AA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B971E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53E62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B1B00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0BABD0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F3AAF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36AC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54227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3BBA42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948D9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096AA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4E098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ED026A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66DD3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420C4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3DD021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0A501B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40BF6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FA885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4D298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0E972E16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AC92E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8CD8F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6CAAB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DD00D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E774A2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6547A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57BEC5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27023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8C3FA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2134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5A541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58291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42DC03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A3485F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03B86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C654A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4AA99E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FE024B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4EC5D0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BB029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35EEAD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B6321D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167E7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FD6B3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70750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2D74C8B1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CFC54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D012F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74E70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CFA1B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7C408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AC43A5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FFA18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E59F0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D128C4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B9D987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EE673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FFB8BD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309A8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3A5550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BBF6E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FB48A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C1F98A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330BC1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FAC0AB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247C0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B6049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1D9C5C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8454D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B823F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47618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54ED3841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3E99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64538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4C1E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F716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DDE53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AE56C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44D3B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79B8E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EB7C8C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9DE64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986B9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6551D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F02270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09F59A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3F6B6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0750E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BB7F15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AB218E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D732E2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BDE01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D4A90F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0A95AC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C0C83D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729EEF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C19E9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6B099E57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9401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F9886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F3674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D288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982C3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E41E4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6A78C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A7AB0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5A063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AE16F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8B3120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8C6DD9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300EA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EADD40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AB404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CE68D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298FA0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BC334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093F0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C3EDF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C8C472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C92DF7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939D7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0CB1C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50CE71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51EEA507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0C52A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CBFC5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9C01B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FBF76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24FA79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DD8FB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DF585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4CDAE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7756F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5511E2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FE636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38712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5B013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749D54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88A14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A0AE8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54940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CBF138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5DE79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8B07E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BB775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4DE54E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6C8F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B954E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FAA73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00A89ED6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3DDD8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6851A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11EDD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DEB12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C3E8FF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25CEB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7765F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8EC23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2BE896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2A94BB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CB9B6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14ACA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31843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AB5A7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B9C76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232A7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20B04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216A13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34125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AFD55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D98469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D9F75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F2733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3AB7B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A6737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3F40D0B6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21BD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538F8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B613B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1F665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3A6006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26B5A3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71038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A0AB6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DB8C9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AC78D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A45B4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B4E427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58348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6E5125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C620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496DA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100619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AD4B2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128FAD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2B3A9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17430F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1863ED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6261EF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7EC78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DB9E2D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74E53E7A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493B83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0E4D7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E153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4089B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EF134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8C4868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69D82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96850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7AE34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76D939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C4440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7191A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CEDDC2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C24BE1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89DF32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85841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2A5D2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44440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4F1EC6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06DF9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2BBA7B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41D58B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E0500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C6BBCB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33A8F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0B2A640F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E6663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EBCE3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53724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B547E5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37E9F7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B7D73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7598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C26B0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8FF2D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E63BDC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3736FE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99B6A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002F0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419190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E0FFB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BE42A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10E01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F715B9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AD2D6F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8E97C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A618E7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BA3A85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7E49D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E4232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624C1C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090736C5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D3D7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3C94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0917B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04CA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EA90D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C37C0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79A5A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D4EFB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2FCA5C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170B7E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4B24D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D1B18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C94B5C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00F5BE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84686D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B0981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5C8637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39D427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0AE44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3E57CE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5F5411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CCE2E3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D1178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7F8A0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DE0F8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6D41C6B4" w14:textId="77777777" w:rsidTr="003063F5">
        <w:tc>
          <w:tcPr>
            <w:tcW w:w="1586" w:type="dxa"/>
            <w:tcBorders>
              <w:top w:val="double" w:sz="4" w:space="0" w:color="5B9BD5" w:themeColor="accent5"/>
            </w:tcBorders>
          </w:tcPr>
          <w:p w14:paraId="308B565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6C7CD1F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</w:tcBorders>
          </w:tcPr>
          <w:p w14:paraId="0B90336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36107FE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3208D04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172B5FE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</w:tcBorders>
          </w:tcPr>
          <w:p w14:paraId="760B038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1F93070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66810E7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001538F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</w:tcBorders>
          </w:tcPr>
          <w:p w14:paraId="4937ED2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019176D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4489DC4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77D410B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</w:tcBorders>
          </w:tcPr>
          <w:p w14:paraId="1D91428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68B0E710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659D445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5D540DF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</w:tcBorders>
          </w:tcPr>
          <w:p w14:paraId="7CA9357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0275FE6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03ADE1A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40B79A6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</w:tcBorders>
          </w:tcPr>
          <w:p w14:paraId="5EAAD86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</w:tcBorders>
          </w:tcPr>
          <w:p w14:paraId="5B3D533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AE56B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207ED1BC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70DCE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7D6766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8874D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F7B4B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DCFBD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B650C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44F16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ECD40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B8FF14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C291D7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5C603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E496E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7D926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A6650A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30412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412B8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F2F74C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AA063A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1C5B6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8EA844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7E1BB8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9E3660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CD374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CDEBB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D7C3C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43C96931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C40D95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DF83E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D2FFF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B28D8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EC7C5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6AD89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04018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BB8EB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5F6AF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298113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D9A31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521B4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ECFA3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447C2C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085257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4BABB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407A30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0761E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437A5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B82D0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A4107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18F53A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684BB4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10E9A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E0B69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3063F5" w:rsidRPr="00332B72" w14:paraId="0D20F8A2" w14:textId="77777777" w:rsidTr="003063F5">
        <w:tc>
          <w:tcPr>
            <w:tcW w:w="158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D54855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449BF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1FA686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44361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8DB571C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A9AFB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C660C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7AE0B1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0AEDE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5647E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10781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DB5BF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644EF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935A4E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042FF2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B044A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E47CB63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3525854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134D4E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4898B6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BB658CB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D79442D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3969C9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6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9C0C08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97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86315F" w14:textId="77777777" w:rsidR="003063F5" w:rsidRPr="003063F5" w:rsidRDefault="003063F5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405CE" w:rsidRPr="00332B72" w14:paraId="765689A5" w14:textId="77777777" w:rsidTr="005405CE">
        <w:trPr>
          <w:trHeight w:val="501"/>
        </w:trPr>
        <w:tc>
          <w:tcPr>
            <w:tcW w:w="11102" w:type="dxa"/>
            <w:gridSpan w:val="25"/>
            <w:tcBorders>
              <w:top w:val="double" w:sz="4" w:space="0" w:color="5B9BD5" w:themeColor="accent5"/>
            </w:tcBorders>
            <w:vAlign w:val="center"/>
          </w:tcPr>
          <w:p w14:paraId="2786B83B" w14:textId="4D882B81" w:rsidR="005405CE" w:rsidRPr="005405CE" w:rsidRDefault="005405CE" w:rsidP="005405CE">
            <w:pPr>
              <w:bidi/>
              <w:jc w:val="center"/>
              <w:rPr>
                <w:rFonts w:cs="ManaraDocs Amatti Font"/>
                <w:sz w:val="28"/>
                <w:szCs w:val="28"/>
                <w:rtl/>
                <w:lang w:val="fr-FR"/>
              </w:rPr>
            </w:pPr>
            <w:r w:rsidRPr="005405CE">
              <w:rPr>
                <w:rFonts w:cs="ManaraDocs Amatti Font" w:hint="cs"/>
                <w:sz w:val="28"/>
                <w:szCs w:val="28"/>
                <w:rtl/>
                <w:lang w:val="fr-FR"/>
              </w:rPr>
              <w:t>تقييم كفاءة فهم الخطاب والتّواصل الشّفوي</w:t>
            </w:r>
          </w:p>
        </w:tc>
      </w:tr>
      <w:tr w:rsidR="005405CE" w:rsidRPr="00332B72" w14:paraId="36011334" w14:textId="77777777" w:rsidTr="005405CE">
        <w:trPr>
          <w:trHeight w:val="696"/>
        </w:trPr>
        <w:tc>
          <w:tcPr>
            <w:tcW w:w="11102" w:type="dxa"/>
            <w:gridSpan w:val="25"/>
            <w:tcBorders>
              <w:top w:val="double" w:sz="4" w:space="0" w:color="5B9BD5" w:themeColor="accent5"/>
            </w:tcBorders>
            <w:vAlign w:val="center"/>
          </w:tcPr>
          <w:p w14:paraId="57997A99" w14:textId="172660F0" w:rsidR="005405CE" w:rsidRPr="003063F5" w:rsidRDefault="005405CE" w:rsidP="005405CE">
            <w:pPr>
              <w:bidi/>
              <w:jc w:val="center"/>
              <w:rPr>
                <w:sz w:val="32"/>
                <w:szCs w:val="32"/>
                <w:rtl/>
                <w:lang w:val="fr-FR"/>
              </w:rPr>
            </w:pPr>
            <w:r w:rsidRPr="005405CE">
              <w:rPr>
                <w:rFonts w:hint="cs"/>
                <w:sz w:val="28"/>
                <w:szCs w:val="28"/>
                <w:rtl/>
                <w:lang w:val="fr-FR"/>
              </w:rPr>
              <w:t>.........................................................</w:t>
            </w:r>
          </w:p>
        </w:tc>
      </w:tr>
    </w:tbl>
    <w:p w14:paraId="5E1890AD" w14:textId="77777777" w:rsidR="00E37377" w:rsidRDefault="00E37377" w:rsidP="005405CE">
      <w:pPr>
        <w:bidi/>
      </w:pPr>
    </w:p>
    <w:sectPr w:rsidR="00E37377" w:rsidSect="003063F5">
      <w:pgSz w:w="11906" w:h="16838" w:code="9"/>
      <w:pgMar w:top="284" w:right="397" w:bottom="284" w:left="397" w:header="709" w:footer="709" w:gutter="0"/>
      <w:pgBorders w:offsetFrom="page">
        <w:top w:val="thinThickLargeGap" w:sz="24" w:space="6" w:color="auto"/>
        <w:left w:val="thinThickLargeGap" w:sz="24" w:space="6" w:color="auto"/>
        <w:bottom w:val="thickThinLargeGap" w:sz="24" w:space="6" w:color="auto"/>
        <w:right w:val="thickThinLargeGap" w:sz="24" w:space="6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20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7"/>
    <w:rsid w:val="0021546A"/>
    <w:rsid w:val="0024155C"/>
    <w:rsid w:val="003063F5"/>
    <w:rsid w:val="00332B72"/>
    <w:rsid w:val="005405CE"/>
    <w:rsid w:val="00722291"/>
    <w:rsid w:val="007E5C75"/>
    <w:rsid w:val="00864F88"/>
    <w:rsid w:val="00907B6E"/>
    <w:rsid w:val="00961983"/>
    <w:rsid w:val="00A52A77"/>
    <w:rsid w:val="00B66FD2"/>
    <w:rsid w:val="00C64E2A"/>
    <w:rsid w:val="00E113BA"/>
    <w:rsid w:val="00E37377"/>
    <w:rsid w:val="00E725C1"/>
    <w:rsid w:val="00E7569E"/>
    <w:rsid w:val="00EB4BC4"/>
    <w:rsid w:val="00E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FCAFF"/>
  <w14:defaultImageDpi w14:val="32767"/>
  <w15:chartTrackingRefBased/>
  <w15:docId w15:val="{C8468E95-AC65-4D6E-B656-517E2C96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8</cp:revision>
  <dcterms:created xsi:type="dcterms:W3CDTF">2024-02-24T16:53:00Z</dcterms:created>
  <dcterms:modified xsi:type="dcterms:W3CDTF">2024-02-24T18:39:00Z</dcterms:modified>
</cp:coreProperties>
</file>