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5661430" w14:textId="5567EEEC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850517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6E6FF5C5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512B7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الخامسة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49663BA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33"/>
        <w:gridCol w:w="909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850517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33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09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50517" w:rsidRPr="003472F0" w14:paraId="223576BA" w14:textId="77777777" w:rsidTr="00850517">
        <w:trPr>
          <w:trHeight w:val="865"/>
        </w:trPr>
        <w:tc>
          <w:tcPr>
            <w:tcW w:w="482" w:type="dxa"/>
            <w:vAlign w:val="center"/>
          </w:tcPr>
          <w:p w14:paraId="358BC44E" w14:textId="6B193FA8" w:rsidR="00850517" w:rsidRPr="00986E6A" w:rsidRDefault="00850517" w:rsidP="00F64CB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14134" w:type="dxa"/>
            <w:gridSpan w:val="15"/>
            <w:shd w:val="clear" w:color="auto" w:fill="auto"/>
            <w:vAlign w:val="center"/>
          </w:tcPr>
          <w:p w14:paraId="09411E56" w14:textId="649AAC05" w:rsidR="00850517" w:rsidRPr="00E306C7" w:rsidRDefault="00850517" w:rsidP="00F64CB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عطلة الربيع</w:t>
            </w:r>
          </w:p>
        </w:tc>
      </w:tr>
      <w:tr w:rsidR="00CF28B2" w:rsidRPr="003472F0" w14:paraId="374A32A9" w14:textId="77777777" w:rsidTr="00CF28B2">
        <w:trPr>
          <w:cantSplit/>
          <w:trHeight w:val="1134"/>
        </w:trPr>
        <w:tc>
          <w:tcPr>
            <w:tcW w:w="482" w:type="dxa"/>
            <w:vAlign w:val="center"/>
          </w:tcPr>
          <w:p w14:paraId="324F1B38" w14:textId="35FDBE89" w:rsidR="00CF28B2" w:rsidRDefault="00CF28B2" w:rsidP="0085051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FD41294" w14:textId="5C21E308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الحياة الثقافية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996" w:type="dxa"/>
            <w:vAlign w:val="center"/>
          </w:tcPr>
          <w:p w14:paraId="25D98C70" w14:textId="7D2581EC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عكس ذلك</w:t>
            </w:r>
          </w:p>
        </w:tc>
        <w:tc>
          <w:tcPr>
            <w:tcW w:w="1151" w:type="dxa"/>
            <w:vAlign w:val="center"/>
          </w:tcPr>
          <w:p w14:paraId="25ED61E8" w14:textId="5F8C2F5B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مؤسسو العلوم</w:t>
            </w:r>
          </w:p>
        </w:tc>
        <w:tc>
          <w:tcPr>
            <w:tcW w:w="833" w:type="dxa"/>
            <w:vAlign w:val="center"/>
          </w:tcPr>
          <w:p w14:paraId="1ED1C41F" w14:textId="7BA1AE53" w:rsidR="00CF28B2" w:rsidRDefault="00CF28B2" w:rsidP="0085051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العطف</w:t>
            </w:r>
          </w:p>
        </w:tc>
        <w:tc>
          <w:tcPr>
            <w:tcW w:w="909" w:type="dxa"/>
            <w:vAlign w:val="center"/>
          </w:tcPr>
          <w:p w14:paraId="705D8DA2" w14:textId="114E9FDD" w:rsidR="00CF28B2" w:rsidRPr="00860480" w:rsidRDefault="00CF28B2" w:rsidP="0085051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تصريف الماضي المبني للمجهول</w:t>
            </w:r>
          </w:p>
        </w:tc>
        <w:tc>
          <w:tcPr>
            <w:tcW w:w="934" w:type="dxa"/>
            <w:vAlign w:val="center"/>
          </w:tcPr>
          <w:p w14:paraId="500F7EC8" w14:textId="661A4C5B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عبقرية فذة</w:t>
            </w:r>
          </w:p>
        </w:tc>
        <w:tc>
          <w:tcPr>
            <w:tcW w:w="850" w:type="dxa"/>
            <w:vMerge w:val="restart"/>
            <w:vAlign w:val="center"/>
          </w:tcPr>
          <w:p w14:paraId="7D7F8D1A" w14:textId="45355E6D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مناهل المعرفة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418F51D3" w14:textId="0E31F559" w:rsidR="00CF28B2" w:rsidRPr="00860480" w:rsidRDefault="00CF28B2" w:rsidP="0085051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كتابة مقال علمي مدعم بالتفسير والحجج</w:t>
            </w:r>
          </w:p>
          <w:p w14:paraId="21552578" w14:textId="6F53D411" w:rsidR="00CF28B2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850517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إنجاز مجلة علمية</w:t>
            </w:r>
            <w:r>
              <w:rPr>
                <w:rFonts w:hint="cs"/>
                <w:b/>
                <w:bCs/>
                <w:color w:val="A30000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A8B2C5B" w14:textId="1B60C06D" w:rsidR="00CF28B2" w:rsidRPr="00030881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الاعلى</w:t>
            </w:r>
          </w:p>
        </w:tc>
        <w:tc>
          <w:tcPr>
            <w:tcW w:w="851" w:type="dxa"/>
            <w:vAlign w:val="center"/>
          </w:tcPr>
          <w:p w14:paraId="28318F01" w14:textId="198C72D4" w:rsidR="00CF28B2" w:rsidRPr="003472F0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الانتخاب حق و واجب</w:t>
            </w:r>
          </w:p>
        </w:tc>
        <w:tc>
          <w:tcPr>
            <w:tcW w:w="850" w:type="dxa"/>
            <w:vAlign w:val="center"/>
          </w:tcPr>
          <w:p w14:paraId="1047DB14" w14:textId="1EC16D38" w:rsidR="00CF28B2" w:rsidRPr="002F7EBA" w:rsidRDefault="00CF28B2" w:rsidP="00850517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تلوث الماء</w:t>
            </w:r>
          </w:p>
        </w:tc>
        <w:tc>
          <w:tcPr>
            <w:tcW w:w="1416" w:type="dxa"/>
            <w:vAlign w:val="center"/>
          </w:tcPr>
          <w:p w14:paraId="774EF186" w14:textId="0EEC113B" w:rsidR="00CF28B2" w:rsidRDefault="00CF28B2" w:rsidP="0085051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قياس كتل</w:t>
            </w:r>
          </w:p>
          <w:p w14:paraId="2A94AC13" w14:textId="4619A4C8" w:rsidR="00CF28B2" w:rsidRDefault="00CF28B2" w:rsidP="0085051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التمثيلات البيانية والمخططات </w:t>
            </w:r>
          </w:p>
          <w:p w14:paraId="2FAC4D35" w14:textId="54257069" w:rsidR="00CF28B2" w:rsidRPr="006D665F" w:rsidRDefault="00CF28B2" w:rsidP="00850517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الدائرة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01AB3EA" w14:textId="5069FB56" w:rsidR="00CF28B2" w:rsidRPr="00CF28B2" w:rsidRDefault="00CF28B2" w:rsidP="00CF28B2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الثورة التحريرية 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74BA54" w14:textId="1320B513" w:rsidR="00CF28B2" w:rsidRPr="003472F0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مشاكل المدن</w:t>
            </w:r>
          </w:p>
        </w:tc>
        <w:tc>
          <w:tcPr>
            <w:tcW w:w="1150" w:type="dxa"/>
            <w:vAlign w:val="center"/>
          </w:tcPr>
          <w:p w14:paraId="681CE355" w14:textId="35CBA59D" w:rsidR="00CF28B2" w:rsidRPr="003472F0" w:rsidRDefault="00CF28B2" w:rsidP="008505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قواعد فن الزخرفة</w:t>
            </w:r>
          </w:p>
        </w:tc>
      </w:tr>
      <w:tr w:rsidR="00CF28B2" w:rsidRPr="003472F0" w14:paraId="3A00F44D" w14:textId="77777777" w:rsidTr="00CF28B2">
        <w:tc>
          <w:tcPr>
            <w:tcW w:w="482" w:type="dxa"/>
            <w:vAlign w:val="center"/>
          </w:tcPr>
          <w:p w14:paraId="20D3606E" w14:textId="2132C7E9" w:rsidR="00CF28B2" w:rsidRDefault="00CF28B2" w:rsidP="00CF28B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82714D4" w14:textId="77777777" w:rsidR="00CF28B2" w:rsidRDefault="00CF28B2" w:rsidP="00CF28B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3E57040C" w14:textId="6A6E66B2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لذلك</w:t>
            </w:r>
          </w:p>
        </w:tc>
        <w:tc>
          <w:tcPr>
            <w:tcW w:w="1151" w:type="dxa"/>
            <w:vAlign w:val="center"/>
          </w:tcPr>
          <w:p w14:paraId="2B4323F1" w14:textId="242C4598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الترابط الدلالي بين العبارات</w:t>
            </w:r>
          </w:p>
        </w:tc>
        <w:tc>
          <w:tcPr>
            <w:tcW w:w="833" w:type="dxa"/>
            <w:vAlign w:val="center"/>
          </w:tcPr>
          <w:p w14:paraId="49C69763" w14:textId="650DACA6" w:rsidR="00CF28B2" w:rsidRDefault="00CF28B2" w:rsidP="00CF28B2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المطلق</w:t>
            </w:r>
          </w:p>
        </w:tc>
        <w:tc>
          <w:tcPr>
            <w:tcW w:w="909" w:type="dxa"/>
            <w:vAlign w:val="center"/>
          </w:tcPr>
          <w:p w14:paraId="62AA8BB4" w14:textId="7CE3CFB5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الأسماء الموصولة</w:t>
            </w:r>
          </w:p>
        </w:tc>
        <w:tc>
          <w:tcPr>
            <w:tcW w:w="934" w:type="dxa"/>
            <w:vAlign w:val="center"/>
          </w:tcPr>
          <w:p w14:paraId="43BE50F5" w14:textId="2120A903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البنسيلين</w:t>
            </w:r>
          </w:p>
        </w:tc>
        <w:tc>
          <w:tcPr>
            <w:tcW w:w="850" w:type="dxa"/>
            <w:vMerge/>
            <w:vAlign w:val="center"/>
          </w:tcPr>
          <w:p w14:paraId="7734954D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3750A40F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2BB29B4F" w14:textId="0808EEBD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ليس المؤمن بالطعان + من غش فليس منا</w:t>
            </w:r>
          </w:p>
        </w:tc>
        <w:tc>
          <w:tcPr>
            <w:tcW w:w="851" w:type="dxa"/>
            <w:vAlign w:val="center"/>
          </w:tcPr>
          <w:p w14:paraId="7DFCE097" w14:textId="78D5A502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انتخاب مندوب القسم</w:t>
            </w:r>
          </w:p>
        </w:tc>
        <w:tc>
          <w:tcPr>
            <w:tcW w:w="850" w:type="dxa"/>
            <w:vAlign w:val="center"/>
          </w:tcPr>
          <w:p w14:paraId="6940F837" w14:textId="09FB6CC2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التخلص من النفايات</w:t>
            </w:r>
          </w:p>
        </w:tc>
        <w:tc>
          <w:tcPr>
            <w:tcW w:w="1416" w:type="dxa"/>
            <w:vAlign w:val="center"/>
          </w:tcPr>
          <w:p w14:paraId="2CE4F4D7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القسمة التامة </w:t>
            </w:r>
          </w:p>
          <w:p w14:paraId="4492D79B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الاعداد العشرية وقياس المقادير</w:t>
            </w:r>
          </w:p>
          <w:p w14:paraId="7C7F3D74" w14:textId="0314C03A" w:rsidR="00CF28B2" w:rsidRDefault="00CF28B2" w:rsidP="00CF28B2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منهجية حل مشكلات 3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865856D" w14:textId="6234AC37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9BC6ADC" w14:textId="2048E2EF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حلول التلوث والنفايات المنزلية </w:t>
            </w:r>
          </w:p>
        </w:tc>
        <w:tc>
          <w:tcPr>
            <w:tcW w:w="1150" w:type="dxa"/>
            <w:vAlign w:val="center"/>
          </w:tcPr>
          <w:p w14:paraId="5AB14A1B" w14:textId="77777777" w:rsidR="00CF28B2" w:rsidRPr="00CF28B2" w:rsidRDefault="00CF28B2" w:rsidP="00CF28B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rtl/>
                <w:lang w:bidi="ar-DZ"/>
              </w:rPr>
              <w:t>قالب الفالس</w:t>
            </w:r>
          </w:p>
          <w:p w14:paraId="3C5C3F9B" w14:textId="5508C36D" w:rsidR="00CF28B2" w:rsidRDefault="00CF28B2" w:rsidP="00CF28B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rtl/>
                <w:lang w:bidi="ar-DZ"/>
              </w:rPr>
              <w:t>انشودة المولد النبوي</w:t>
            </w:r>
          </w:p>
        </w:tc>
      </w:tr>
      <w:tr w:rsidR="00CF28B2" w:rsidRPr="003472F0" w14:paraId="1897FC4B" w14:textId="77777777" w:rsidTr="00850517">
        <w:tc>
          <w:tcPr>
            <w:tcW w:w="482" w:type="dxa"/>
            <w:vAlign w:val="center"/>
          </w:tcPr>
          <w:p w14:paraId="530C39FE" w14:textId="342BF855" w:rsidR="00CF28B2" w:rsidRDefault="00CF28B2" w:rsidP="00CF28B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719A02A" w14:textId="77777777" w:rsidR="00CF28B2" w:rsidRDefault="00CF28B2" w:rsidP="00CF28B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4D222B65" w14:textId="6C8361A8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لكي</w:t>
            </w:r>
          </w:p>
        </w:tc>
        <w:tc>
          <w:tcPr>
            <w:tcW w:w="1151" w:type="dxa"/>
            <w:vAlign w:val="center"/>
          </w:tcPr>
          <w:p w14:paraId="32E7AE1D" w14:textId="79615D4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المخترعات</w:t>
            </w:r>
          </w:p>
        </w:tc>
        <w:tc>
          <w:tcPr>
            <w:tcW w:w="833" w:type="dxa"/>
            <w:vAlign w:val="center"/>
          </w:tcPr>
          <w:p w14:paraId="7D0F6200" w14:textId="7D292ADD" w:rsidR="00CF28B2" w:rsidRDefault="00CF28B2" w:rsidP="00CF28B2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الاستثناء بـ: الا وغير وسوى</w:t>
            </w:r>
          </w:p>
        </w:tc>
        <w:tc>
          <w:tcPr>
            <w:tcW w:w="909" w:type="dxa"/>
            <w:vAlign w:val="center"/>
          </w:tcPr>
          <w:p w14:paraId="522FA78A" w14:textId="6561F600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تصريف المضارع المنصوب والمجزوم</w:t>
            </w:r>
          </w:p>
        </w:tc>
        <w:tc>
          <w:tcPr>
            <w:tcW w:w="934" w:type="dxa"/>
            <w:vAlign w:val="center"/>
          </w:tcPr>
          <w:p w14:paraId="093B379F" w14:textId="6B061B40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الروبوت المشاغب</w:t>
            </w:r>
          </w:p>
        </w:tc>
        <w:tc>
          <w:tcPr>
            <w:tcW w:w="850" w:type="dxa"/>
            <w:vMerge/>
            <w:vAlign w:val="center"/>
          </w:tcPr>
          <w:p w14:paraId="3FD1841C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63C60C99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FDE2F09" w14:textId="7AF127FA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الصلاة في السفر</w:t>
            </w:r>
          </w:p>
        </w:tc>
        <w:tc>
          <w:tcPr>
            <w:tcW w:w="851" w:type="dxa"/>
            <w:vAlign w:val="center"/>
          </w:tcPr>
          <w:p w14:paraId="49BF43DC" w14:textId="053ED129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الشرطة</w:t>
            </w:r>
          </w:p>
        </w:tc>
        <w:tc>
          <w:tcPr>
            <w:tcW w:w="850" w:type="dxa"/>
            <w:vAlign w:val="center"/>
          </w:tcPr>
          <w:p w14:paraId="499B35B9" w14:textId="7AA2889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مشروع تربية حيوان الحلزون</w:t>
            </w:r>
          </w:p>
        </w:tc>
        <w:tc>
          <w:tcPr>
            <w:tcW w:w="1416" w:type="dxa"/>
            <w:vAlign w:val="center"/>
          </w:tcPr>
          <w:p w14:paraId="414B7EBB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اجند معارفي </w:t>
            </w:r>
          </w:p>
          <w:p w14:paraId="425372B7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الحصيلة </w:t>
            </w:r>
          </w:p>
          <w:p w14:paraId="04D29E14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المعالجة </w:t>
            </w:r>
          </w:p>
          <w:p w14:paraId="2B00CA47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المجسمات 1 +2</w:t>
            </w:r>
          </w:p>
          <w:p w14:paraId="6268DC23" w14:textId="042653F5" w:rsidR="00CF28B2" w:rsidRDefault="00CF28B2" w:rsidP="00CF28B2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وضعيات قسمة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BD21410" w14:textId="3572DBE5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3</w:t>
            </w: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7558927C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61F895CE" w14:textId="043BD4D6" w:rsidR="00CF28B2" w:rsidRDefault="00CF28B2" w:rsidP="00CF28B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قواعد فن الزخرفة</w:t>
            </w:r>
          </w:p>
        </w:tc>
      </w:tr>
      <w:tr w:rsidR="00CF28B2" w:rsidRPr="003472F0" w14:paraId="3BE847FE" w14:textId="77777777" w:rsidTr="006C4BA9">
        <w:tc>
          <w:tcPr>
            <w:tcW w:w="482" w:type="dxa"/>
            <w:vAlign w:val="center"/>
          </w:tcPr>
          <w:p w14:paraId="4D228B16" w14:textId="15E2A1AF" w:rsidR="00CF28B2" w:rsidRDefault="00CF28B2" w:rsidP="00CF28B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13EBBAF" w14:textId="77777777" w:rsidR="00CF28B2" w:rsidRDefault="00CF28B2" w:rsidP="00CF28B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7"/>
            <w:vAlign w:val="center"/>
          </w:tcPr>
          <w:p w14:paraId="7E21534B" w14:textId="515F4C40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إدماج تقويم ومعالجة </w:t>
            </w:r>
          </w:p>
        </w:tc>
        <w:tc>
          <w:tcPr>
            <w:tcW w:w="992" w:type="dxa"/>
            <w:vAlign w:val="center"/>
          </w:tcPr>
          <w:p w14:paraId="5F8558C2" w14:textId="7431769E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العناية بالمحيط</w:t>
            </w:r>
          </w:p>
        </w:tc>
        <w:tc>
          <w:tcPr>
            <w:tcW w:w="851" w:type="dxa"/>
            <w:vAlign w:val="center"/>
          </w:tcPr>
          <w:p w14:paraId="19AAF5B4" w14:textId="6BA97A44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الدرك الوطني</w:t>
            </w:r>
          </w:p>
        </w:tc>
        <w:tc>
          <w:tcPr>
            <w:tcW w:w="850" w:type="dxa"/>
            <w:vAlign w:val="center"/>
          </w:tcPr>
          <w:p w14:paraId="4EA0AB18" w14:textId="42333BF3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تقويم ومعالجة</w:t>
            </w:r>
          </w:p>
        </w:tc>
        <w:tc>
          <w:tcPr>
            <w:tcW w:w="1416" w:type="dxa"/>
            <w:vAlign w:val="center"/>
          </w:tcPr>
          <w:p w14:paraId="23EB2E7F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نقل شكل أو اتمامه</w:t>
            </w:r>
          </w:p>
          <w:p w14:paraId="61922460" w14:textId="77777777" w:rsidR="00CF28B2" w:rsidRDefault="00CF28B2" w:rsidP="00CF28B2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انشاء أشكال هندسية </w:t>
            </w:r>
          </w:p>
          <w:p w14:paraId="04D0941C" w14:textId="33228C4C" w:rsidR="00CF28B2" w:rsidRDefault="00CF28B2" w:rsidP="00CF28B2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الكسور والاعداد العشرية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0CEA839" w14:textId="28EE6C61" w:rsidR="00CF28B2" w:rsidRDefault="00CF28B2" w:rsidP="00CF28B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4</w:t>
            </w: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3187970" w14:textId="77777777" w:rsid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03F3A192" w14:textId="77777777" w:rsidR="00CF28B2" w:rsidRPr="00CF28B2" w:rsidRDefault="00CF28B2" w:rsidP="00CF28B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rtl/>
                <w:lang w:bidi="ar-DZ"/>
              </w:rPr>
              <w:t>قالب الفالس</w:t>
            </w:r>
          </w:p>
          <w:p w14:paraId="7CF77249" w14:textId="348A0082" w:rsidR="00CF28B2" w:rsidRPr="00CF28B2" w:rsidRDefault="00CF28B2" w:rsidP="00CF28B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CF28B2">
              <w:rPr>
                <w:rFonts w:hint="cs"/>
                <w:b/>
                <w:bCs/>
                <w:rtl/>
                <w:lang w:bidi="ar-DZ"/>
              </w:rPr>
              <w:t>انشودة المولد النبوي</w:t>
            </w:r>
          </w:p>
        </w:tc>
      </w:tr>
    </w:tbl>
    <w:p w14:paraId="36390441" w14:textId="09B93486" w:rsidR="00532231" w:rsidRDefault="004D2A60" w:rsidP="004E60E8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CF28B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CF28B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</w:t>
      </w:r>
      <w:r w:rsidR="00CF28B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CF28B2">
        <w:rPr>
          <w:rFonts w:cs="ManaraDocs Amatti Font" w:hint="cs"/>
          <w:sz w:val="28"/>
          <w:szCs w:val="28"/>
          <w:rtl/>
          <w:lang w:bidi="ar-DZ"/>
        </w:rPr>
        <w:t>(ة)</w:t>
      </w: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30881"/>
    <w:rsid w:val="00033745"/>
    <w:rsid w:val="00056536"/>
    <w:rsid w:val="000606CE"/>
    <w:rsid w:val="000661B3"/>
    <w:rsid w:val="00074179"/>
    <w:rsid w:val="000759FA"/>
    <w:rsid w:val="000904E0"/>
    <w:rsid w:val="00095101"/>
    <w:rsid w:val="0009693F"/>
    <w:rsid w:val="00096AC4"/>
    <w:rsid w:val="000A0237"/>
    <w:rsid w:val="000B053A"/>
    <w:rsid w:val="000C18FE"/>
    <w:rsid w:val="000D3456"/>
    <w:rsid w:val="000F3EBA"/>
    <w:rsid w:val="00103420"/>
    <w:rsid w:val="001347BB"/>
    <w:rsid w:val="001349A7"/>
    <w:rsid w:val="00165EEE"/>
    <w:rsid w:val="001700F9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2F7EBA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7810"/>
    <w:rsid w:val="004C0E53"/>
    <w:rsid w:val="004D17D1"/>
    <w:rsid w:val="004D2A60"/>
    <w:rsid w:val="004E60E8"/>
    <w:rsid w:val="005059F8"/>
    <w:rsid w:val="00507EBC"/>
    <w:rsid w:val="00512B7E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43168"/>
    <w:rsid w:val="00850517"/>
    <w:rsid w:val="00860480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5071A"/>
    <w:rsid w:val="009652A8"/>
    <w:rsid w:val="00986E6A"/>
    <w:rsid w:val="00A14D1F"/>
    <w:rsid w:val="00A21137"/>
    <w:rsid w:val="00A56B80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21A9F"/>
    <w:rsid w:val="00C35EC0"/>
    <w:rsid w:val="00C61E2E"/>
    <w:rsid w:val="00C7085E"/>
    <w:rsid w:val="00C76D25"/>
    <w:rsid w:val="00C9614D"/>
    <w:rsid w:val="00CB09F5"/>
    <w:rsid w:val="00CD338D"/>
    <w:rsid w:val="00CD6A8E"/>
    <w:rsid w:val="00CF28B2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06C7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64CB0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155</cp:revision>
  <dcterms:created xsi:type="dcterms:W3CDTF">2024-09-21T17:27:00Z</dcterms:created>
  <dcterms:modified xsi:type="dcterms:W3CDTF">2025-04-02T12:06:00Z</dcterms:modified>
</cp:coreProperties>
</file>