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59" w:lineRule="auto"/>
        <w:ind w:left="0" w:right="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التوزيع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السنوي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لمادة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الرياضيات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ind w:left="0" w:right="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المستوى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 : 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السنة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الثانية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علوم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تجريبية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                                                                 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السنة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الدراسية</w:t>
      </w:r>
      <w:r w:rsidDel="00000000" w:rsidR="00000000" w:rsidRPr="00000000">
        <w:rPr>
          <w:b w:val="1"/>
          <w:sz w:val="28"/>
          <w:szCs w:val="28"/>
          <w:vertAlign w:val="baseline"/>
          <w:rtl w:val="1"/>
        </w:rPr>
        <w:t xml:space="preserve"> : 2023-2024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right="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8.000000000002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8080"/>
        <w:gridCol w:w="531"/>
        <w:gridCol w:w="531"/>
        <w:gridCol w:w="531"/>
        <w:gridCol w:w="783"/>
        <w:tblGridChange w:id="0">
          <w:tblGrid>
            <w:gridCol w:w="562"/>
            <w:gridCol w:w="8080"/>
            <w:gridCol w:w="531"/>
            <w:gridCol w:w="531"/>
            <w:gridCol w:w="531"/>
            <w:gridCol w:w="783"/>
          </w:tblGrid>
        </w:tblGridChange>
      </w:tblGrid>
      <w:tr>
        <w:trPr>
          <w:cantSplit w:val="1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ح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الساعي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المحتويات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6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المحور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رقم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الأسبوع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الأسبوع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الأشهر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0B">
            <w:pPr>
              <w:bidi w:val="1"/>
              <w:spacing w:line="276" w:lineRule="auto"/>
              <w:ind w:left="-57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تقويم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تشخيصي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لمكتسبات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التلاميذ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سبتمبر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عموميات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العمليات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على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الدوال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: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676400" cy="4191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bidi w:val="1"/>
              <w:ind w:left="113" w:right="113" w:firstLine="0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الـــدوال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أكتوبر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تفكيك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دالة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الدوال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المرجعية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دراسة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اتجاه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تغي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دالة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الدوال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المرجعية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اتجاه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التغي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للدوال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الشكل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: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762000" cy="190500"/>
                  <wp:effectExtent b="0" l="0" r="0" t="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342900" cy="1905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تابع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لاتجاه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التغي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للدوال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الشكل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: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762000" cy="19050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342900" cy="1905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تمثيل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دالة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بيانيا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الدوال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المرجعية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عندما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يكون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ذلك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ممكنا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التطرق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محور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مركز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تناظر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منحنى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مسائل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تستخدم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فيها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معادلات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أو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متراجحات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الدرجة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الثانية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أو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الثالثة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التحليل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جداء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عوامل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العدد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المشتق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مقاربة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المفهوم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والتعريف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bidi w:val="1"/>
              <w:ind w:left="113" w:right="113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الاشـتـقـاقـيـة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العدد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المشتق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لدالة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عند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عدد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حقيقي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90500" cy="2286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التفسير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الهندسي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للعدد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المشتق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تعيين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معادلة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المماس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وتطبيقات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مشتقات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الدوال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المألوفة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 :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3098800" cy="381000"/>
                  <wp:effectExtent b="0" l="0" r="0" t="0"/>
                  <wp:docPr id="10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قواعد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مشتقات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الدوال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 :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336800" cy="419100"/>
                  <wp:effectExtent b="0" l="0" r="0" t="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71" w:hRule="atLeast"/>
          <w:tblHeader w:val="0"/>
        </w:trPr>
        <w:tc>
          <w:tcPr>
            <w:gridSpan w:val="4"/>
            <w:tcBorders>
              <w:left w:color="000000" w:space="0" w:sz="4" w:val="single"/>
              <w:right w:color="000000" w:space="0" w:sz="4" w:val="single"/>
            </w:tcBorders>
            <w:shd w:fill="00b0f0" w:val="clear"/>
            <w:vAlign w:val="top"/>
          </w:tcPr>
          <w:p w:rsidR="00000000" w:rsidDel="00000000" w:rsidP="00000000" w:rsidRDefault="00000000" w:rsidRPr="00000000" w14:paraId="00000058">
            <w:pPr>
              <w:bidi w:val="1"/>
              <w:ind w:left="0" w:right="-57" w:firstLine="0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عطلة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الخريف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نوفمبر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المشتق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واتجاه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التغي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تعيين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اتجاه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تغي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دالة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bidi w:val="1"/>
              <w:spacing w:line="276" w:lineRule="auto"/>
              <w:ind w:left="113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1"/>
              </w:rPr>
              <w:t xml:space="preserve">الاشـتـقـاقـيـة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1">
            <w:pPr>
              <w:bidi w:val="1"/>
              <w:ind w:left="113" w:right="113" w:firstLine="0"/>
              <w:jc w:val="left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المشتقة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لتعيين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القيم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الحد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لدالة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مسائل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تستخدم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فيها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دوال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ناطقة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تذكير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بمحاكاة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تجربة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عشوائية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محاكاة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تجربة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عشوائية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بسيطة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إبراز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مفهوم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ميل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التواترات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نحو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الاستقرار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خلال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أمثلة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متنوعة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2">
            <w:pPr>
              <w:bidi w:val="1"/>
              <w:spacing w:line="276" w:lineRule="auto"/>
              <w:ind w:left="113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الاحـتـمـالات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bidi w:val="1"/>
              <w:spacing w:line="276" w:lineRule="auto"/>
              <w:ind w:left="113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1"/>
              </w:rPr>
              <w:t xml:space="preserve">المرجح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قانون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الاحتمال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استمثال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التواترات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التمييز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التواتر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التجريبي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والتواتر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النظري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كمدخل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لمفهوم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الاحتمال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وصف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تجربة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عشوائية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بسيطة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عدد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النتائج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الممكنة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فيها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منته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قانون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الاحتمال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نمذجة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بعض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الوضعيات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البسيطة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احتمال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حادثة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تجربة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عشوائية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بسيطة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الأمل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الرياضياتي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الانحراف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المعياري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 )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والتباين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(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لقانون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الاحتمال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2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الاحتمالات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المتساوية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احتمال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حادثة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بسيطة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وحادثة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مرك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بة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خواص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الاحتمال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احتمالات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بعض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الحوادث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المرك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تابع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خواص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الاحتمال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احتمالات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بعض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الحوادث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المرك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ديسمبر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2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المتغي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العشوائي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تعيين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قانون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الاحتمال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لمتغي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عشوائي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E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الأمل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الرياضياتي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والتباين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والانحراف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المعياري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لمتغي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عشوائي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مسائل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الاحتمالات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إنشاء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ُ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ج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ِّ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نقطتين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ُ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ج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ِّ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ثلاث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نقط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bidi w:val="1"/>
              <w:ind w:left="-57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المرجح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D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خاصية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التجميع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إنشاء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ُ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ج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ِّ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ثلاث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نقط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إحداثيي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ُ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ج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ِّ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sz w:val="8"/>
          <w:szCs w:val="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1018.000000000002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8080"/>
        <w:gridCol w:w="531"/>
        <w:gridCol w:w="531"/>
        <w:gridCol w:w="531"/>
        <w:gridCol w:w="783"/>
        <w:tblGridChange w:id="0">
          <w:tblGrid>
            <w:gridCol w:w="562"/>
            <w:gridCol w:w="8080"/>
            <w:gridCol w:w="531"/>
            <w:gridCol w:w="531"/>
            <w:gridCol w:w="531"/>
            <w:gridCol w:w="783"/>
          </w:tblGrid>
        </w:tblGridChange>
      </w:tblGrid>
      <w:tr>
        <w:trPr>
          <w:cantSplit w:val="1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CD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معالجة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بيداغوجية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ديسمبر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0D2">
            <w:pPr>
              <w:bidi w:val="1"/>
              <w:spacing w:line="276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1"/>
              </w:rPr>
              <w:t xml:space="preserve">اختبارات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1"/>
              </w:rPr>
              <w:t xml:space="preserve">الفصل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1"/>
              </w:rPr>
              <w:t xml:space="preserve">الأول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2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D8">
            <w:pPr>
              <w:bidi w:val="1"/>
              <w:ind w:left="0" w:right="-57" w:firstLine="0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عطلة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الشتاء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C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2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جانفي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ُ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ج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ِّ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لإثبات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استقامية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نقط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وتلاقي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مستقيمات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6">
            <w:pPr>
              <w:bidi w:val="1"/>
              <w:ind w:left="-57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المرجح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توظيف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ُ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َ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ج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ِّ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دراسة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مجموعات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نقطية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وتعيينها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وإنشائها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8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النهايات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والسلوك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التقاربي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لمنحنى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دالة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نهاية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دالة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عندما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يؤول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143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vertAlign w:val="baseline"/>
                <w:rtl w:val="1"/>
              </w:rPr>
              <w:t xml:space="preserve">  </w:t>
            </w:r>
            <w:r w:rsidDel="00000000" w:rsidR="00000000" w:rsidRPr="00000000">
              <w:rPr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28600" cy="139700"/>
                  <wp:effectExtent b="0" l="0" r="0" t="0"/>
                  <wp:docPr id="1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vertAlign w:val="baseline"/>
                <w:rtl w:val="1"/>
              </w:rPr>
              <w:t xml:space="preserve">  </w:t>
            </w:r>
            <w:r w:rsidDel="00000000" w:rsidR="00000000" w:rsidRPr="00000000">
              <w:rPr>
                <w:vertAlign w:val="baseline"/>
                <w:rtl w:val="1"/>
              </w:rPr>
              <w:t xml:space="preserve">أو</w:t>
            </w:r>
            <w:r w:rsidDel="00000000" w:rsidR="00000000" w:rsidRPr="00000000">
              <w:rPr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228600" cy="11430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0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معرفة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شرط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وجود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مستقيم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مقارب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للمنحنى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يوازي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محور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الفواصل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2">
            <w:pPr>
              <w:bidi w:val="1"/>
              <w:ind w:left="113" w:right="113" w:firstLine="0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النـهـايـات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3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4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نهاية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دالة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ناطقة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عندما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يؤول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14300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14300" cy="139700"/>
                  <wp:effectExtent b="0" l="0" r="0" t="0"/>
                  <wp:docPr id="1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حيث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14300" cy="139700"/>
                  <wp:effectExtent b="0" l="0" r="0" t="0"/>
                  <wp:docPr id="1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لمجموعة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تعريف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هذه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الدالة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F8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التفسير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البياني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لنهاية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غير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منتهية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لدالة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عندما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يؤول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14300"/>
                  <wp:effectExtent b="0" l="0" r="0" t="0"/>
                  <wp:docPr id="1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  <w:rtl w:val="1"/>
              </w:rPr>
              <w:t xml:space="preserve">إ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لى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14300" cy="139700"/>
                  <wp:effectExtent b="0" l="0" r="0" t="0"/>
                  <wp:docPr id="2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النهايات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مبرهنات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)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المجموع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؛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الجداء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؛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المقلوب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؛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حاصل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القسمة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4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تبرير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أن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مستقيما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ً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معلوما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ً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هو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مستقيم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مقارب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مائل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البحث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مستقيم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مقارب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مائل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A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نهايات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بإزالة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حالة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عدم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التعيين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مسائل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الزوايا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الموجهة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لشعاعين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خواص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الزوايا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الموجهة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لإثبات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تقايس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الزوايا</w:t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7">
            <w:pPr>
              <w:bidi w:val="1"/>
              <w:spacing w:line="276" w:lineRule="auto"/>
              <w:ind w:left="113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الزوايا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الموج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هة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فيفري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2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C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أقياس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الزاوية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الموجهة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تعيين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أقياس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زاوية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موجهة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لشعاعين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2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المثلثات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توظيف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دساتير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التحويل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المتعلقة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بجيب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التمام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وبالجيب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مسائل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مثلثية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8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معادلات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ومتراجحات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مثلثية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المعادلات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المثلثية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الأساسية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A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B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2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E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متراجحات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مثلثية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بسيطة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4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توظيف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التناظر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المركزي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التناظر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المحوري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الانسحاب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الدوران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مسائل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هندسية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6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7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A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التحاكي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تعريف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وخواص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B">
            <w:pPr>
              <w:bidi w:val="1"/>
              <w:spacing w:line="276" w:lineRule="auto"/>
              <w:ind w:left="113" w:right="-57" w:firstLine="0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التحاكي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0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تابع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لتعريف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وخواص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التحاكي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6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خواص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التحاكي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لإثبات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استقامية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نقط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تعيين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محل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هندسي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5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2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مسائل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حول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الإنشاءات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الهندسية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8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الجداء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الس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ُ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َّ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وخواصه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الجداء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السل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لشعاعين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خواصه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لإثبات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علاقات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تتعلق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بالتعامد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9">
            <w:pPr>
              <w:bidi w:val="1"/>
              <w:spacing w:line="276" w:lineRule="auto"/>
              <w:ind w:left="113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1"/>
              </w:rPr>
              <w:t xml:space="preserve">الج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1"/>
              </w:rPr>
              <w:t xml:space="preserve">داء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1"/>
              </w:rPr>
              <w:t xml:space="preserve">الس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1"/>
              </w:rPr>
              <w:t xml:space="preserve">ُ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1"/>
              </w:rPr>
              <w:t xml:space="preserve">ل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1"/>
              </w:rPr>
              <w:t xml:space="preserve">َّ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1"/>
              </w:rPr>
              <w:t xml:space="preserve">مي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1"/>
              </w:rPr>
              <w:t xml:space="preserve">المستوي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A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8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E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تطبيقات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الجداء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السلمي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كتابة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معادلة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مستقيم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ُ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ِ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شعاع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ناظمي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ونقطة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منه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الجداء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السل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خواص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الجداء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السلمي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لتعيين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معادلة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دائرة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4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خواص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الجداء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السل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أو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عبارته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التحليلية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مسافات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وأقياس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زوايا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A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إدراج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العلاقات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المترية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المألوفة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المسافات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أو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الزوايا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C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6D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مارس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0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إدراج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العلاقات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المترية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المألوفة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البحث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مجموعات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نقط</w:t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3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6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توظيف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الجداء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السل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لإثبات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دساتير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الجمع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المتعلقة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بجيب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التمام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وجيب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وعبارتي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393700" cy="177800"/>
                  <wp:effectExtent b="0" l="0" r="0" t="0"/>
                  <wp:docPr id="21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419100" cy="177800"/>
                  <wp:effectExtent b="0" l="0" r="0" t="0"/>
                  <wp:docPr id="22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72" w:hRule="atLeast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C">
            <w:pPr>
              <w:bidi w:val="1"/>
              <w:ind w:left="0" w:right="-57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المعادلة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: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219200" cy="177800"/>
                  <wp:effectExtent b="0" l="0" r="0" t="0"/>
                  <wp:docPr id="2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182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معالجة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بيداغوجية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4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5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9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top"/>
          </w:tcPr>
          <w:p w:rsidR="00000000" w:rsidDel="00000000" w:rsidP="00000000" w:rsidRDefault="00000000" w:rsidRPr="00000000" w14:paraId="00000187">
            <w:pPr>
              <w:bidi w:val="1"/>
              <w:spacing w:line="276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1"/>
              </w:rPr>
              <w:t xml:space="preserve">اختبارات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1"/>
              </w:rPr>
              <w:t xml:space="preserve">الفصل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vertAlign w:val="baseline"/>
                <w:rtl w:val="1"/>
              </w:rPr>
              <w:t xml:space="preserve">الثاني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8B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9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18D">
            <w:pPr>
              <w:bidi w:val="1"/>
              <w:ind w:left="0" w:right="-57" w:firstLine="0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عطلة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الربيع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1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9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00b0f0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7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أفريل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A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توليد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متتالية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عددية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وصف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ظاهرة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بواسطة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متتالية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B">
            <w:pPr>
              <w:bidi w:val="1"/>
              <w:spacing w:line="276" w:lineRule="auto"/>
              <w:ind w:left="113" w:right="113" w:firstLine="0"/>
              <w:jc w:val="center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المتتاليات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العددية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C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9D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0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اتجاه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تغي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متتالية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التعر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على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اتجاه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تغي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متتالية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304800" cy="228600"/>
                  <wp:effectExtent b="0" l="0" r="0" t="0"/>
                  <wp:docPr id="2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2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ابتداء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ً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رتبة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معي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6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المتتاليات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الحسابية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: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التعر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على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متتالية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C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الحد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العام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لمتتالية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بدلالة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39700" cy="1143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E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2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مجموع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حدا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ً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متعاقبا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ً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متتالية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8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المتتاليات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الهندسية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التعر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على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متتالية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هندسية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الحد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العام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لمتتالية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هندسية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بدلالة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39700" cy="1143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E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مجموع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52400" cy="1524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حدا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ً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متعاقبا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ً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متتالية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هندسية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0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1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4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نهاية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متتالية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نهاية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متتالية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عددية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المتتاليات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المتقاربة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1018.000000000002" w:type="dxa"/>
        <w:jc w:val="left"/>
        <w:tblInd w:w="-1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2"/>
        <w:gridCol w:w="8080"/>
        <w:gridCol w:w="531"/>
        <w:gridCol w:w="531"/>
        <w:gridCol w:w="531"/>
        <w:gridCol w:w="783"/>
        <w:tblGridChange w:id="0">
          <w:tblGrid>
            <w:gridCol w:w="562"/>
            <w:gridCol w:w="8080"/>
            <w:gridCol w:w="531"/>
            <w:gridCol w:w="531"/>
            <w:gridCol w:w="531"/>
            <w:gridCol w:w="783"/>
          </w:tblGrid>
        </w:tblGridChange>
      </w:tblGrid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B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الهندسة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الفضاء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التعر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على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المجسمات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)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إنشاء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تصميم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C">
            <w:pPr>
              <w:bidi w:val="1"/>
              <w:spacing w:line="276" w:lineRule="auto"/>
              <w:ind w:left="113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الهندسة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1"/>
              </w:rPr>
              <w:t xml:space="preserve">الفضاء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D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CE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أفريل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1">
            <w:pPr>
              <w:bidi w:val="1"/>
              <w:ind w:left="0" w:right="-57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التمثيل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بالمنظور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المتساوي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القياس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7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الأطوال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والمساحات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والحجوم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 )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المكعب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متوازي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المستطيلات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الهرم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الموشور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الأسطوانة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القائمة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الكرة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9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A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ماي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D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المستقيم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والمستوي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التعر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على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الأوضاع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النسبية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لمستويين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لمستقيم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ومستو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لمستقيمين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3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التعامد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والتوازي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الفضاء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9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الشعاعي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الفضاء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ممارسة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الحساب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الشعاعي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الفضاء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F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الأشعة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لإثبات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توازي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شعاعين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واستقامية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ثلاث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نقط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1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2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5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التعليم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الفضاء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تعليم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نقطة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أ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ُ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عطيت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إحداثياتها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FB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تعيين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معادلة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لمستو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ٍ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مواز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ٍ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لأحد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مستويات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الإحداثيات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1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تعيين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معادلات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مستقيم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معر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بنقطة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وشعاع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توجيه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7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إثبات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أن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ّ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أشعة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معطاة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تنتمي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نفس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المستوي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9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A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0D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المسافة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نقطتين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مبرهنة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فيثاغورث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لإيجاد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المسافة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نقطتين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213">
            <w:pPr>
              <w:bidi w:val="1"/>
              <w:ind w:left="0" w:right="-57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استعمال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دستور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المسافة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بين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نقطتين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لتعيين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معادلة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: 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سطح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1"/>
              </w:rPr>
              <w:t xml:space="preserve">كرة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219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معالجة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1"/>
              </w:rPr>
              <w:t xml:space="preserve">بيداغوجية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B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1C">
            <w:pPr>
              <w:bidi w:val="1"/>
              <w:spacing w:line="276" w:lineRule="auto"/>
              <w:ind w:left="0" w:right="-57" w:firstLine="0"/>
              <w:jc w:val="center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bidi w:val="1"/>
        <w:spacing w:after="120" w:before="120" w:lineRule="auto"/>
        <w:ind w:left="0" w:right="0" w:firstLine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1.png"/><Relationship Id="rId10" Type="http://schemas.openxmlformats.org/officeDocument/2006/relationships/image" Target="media/image16.png"/><Relationship Id="rId21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4.png"/><Relationship Id="rId18" Type="http://schemas.openxmlformats.org/officeDocument/2006/relationships/image" Target="media/image15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