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r w:rsidRPr="00EC3C83">
        <w:rPr>
          <w:rFonts w:ascii="Times New Roman" w:eastAsia="Times New Roman" w:hAnsi="Times New Roman" w:cs="Times New Roman"/>
          <w:b/>
          <w:bCs/>
          <w:color w:val="000000"/>
          <w:sz w:val="36"/>
          <w:szCs w:val="36"/>
          <w:rtl/>
        </w:rPr>
        <w:t>المادة : تربية مدنية - المستوى : السنة الرابعة متوسط</w:t>
      </w:r>
      <w:r w:rsidRPr="00EC3C83">
        <w:rPr>
          <w:rFonts w:ascii="Times New Roman" w:eastAsia="Times New Roman" w:hAnsi="Times New Roman" w:cs="Times New Roman"/>
          <w:b/>
          <w:bCs/>
          <w:color w:val="000000"/>
          <w:sz w:val="36"/>
          <w:szCs w:val="36"/>
        </w:rPr>
        <w:br/>
      </w:r>
      <w:r w:rsidRPr="00EC3C83">
        <w:rPr>
          <w:rFonts w:ascii="Times New Roman" w:eastAsia="Times New Roman" w:hAnsi="Times New Roman" w:cs="Times New Roman"/>
          <w:b/>
          <w:bCs/>
          <w:color w:val="000000"/>
          <w:sz w:val="36"/>
          <w:szCs w:val="36"/>
          <w:rtl/>
        </w:rPr>
        <w:t>الميدان الأول : الحياة الجماعية</w:t>
      </w:r>
      <w:r w:rsidRPr="00EC3C83">
        <w:rPr>
          <w:rFonts w:ascii="Times New Roman" w:eastAsia="Times New Roman" w:hAnsi="Times New Roman" w:cs="Times New Roman"/>
          <w:b/>
          <w:bCs/>
          <w:color w:val="000000"/>
          <w:sz w:val="36"/>
          <w:szCs w:val="36"/>
        </w:rPr>
        <w:br/>
      </w:r>
      <w:r w:rsidRPr="00EC3C83">
        <w:rPr>
          <w:rFonts w:ascii="Times New Roman" w:eastAsia="Times New Roman" w:hAnsi="Times New Roman" w:cs="Times New Roman"/>
          <w:b/>
          <w:bCs/>
          <w:color w:val="000000"/>
          <w:sz w:val="36"/>
          <w:szCs w:val="36"/>
          <w:rtl/>
        </w:rPr>
        <w:t>الوضعية التعلمية</w:t>
      </w:r>
      <w:r w:rsidRPr="00EC3C83">
        <w:rPr>
          <w:rFonts w:ascii="Times New Roman" w:eastAsia="Times New Roman" w:hAnsi="Times New Roman" w:cs="Times New Roman"/>
          <w:b/>
          <w:bCs/>
          <w:color w:val="000000"/>
          <w:sz w:val="36"/>
          <w:szCs w:val="36"/>
        </w:rPr>
        <w:t>: </w:t>
      </w:r>
      <w:bookmarkStart w:id="0" w:name="_GoBack"/>
      <w:r w:rsidRPr="00EC3C83">
        <w:rPr>
          <w:rFonts w:ascii="Times New Roman" w:eastAsia="Times New Roman" w:hAnsi="Times New Roman" w:cs="Times New Roman"/>
          <w:b/>
          <w:bCs/>
          <w:color w:val="2B00FE"/>
          <w:sz w:val="36"/>
          <w:szCs w:val="36"/>
          <w:rtl/>
        </w:rPr>
        <w:t>الصلح و الوساطة</w:t>
      </w:r>
      <w:bookmarkEnd w:id="0"/>
      <w:r w:rsidRPr="00EC3C83">
        <w:rPr>
          <w:rFonts w:ascii="Times New Roman" w:eastAsia="Times New Roman" w:hAnsi="Times New Roman" w:cs="Times New Roman"/>
          <w:b/>
          <w:bCs/>
          <w:color w:val="000000"/>
          <w:sz w:val="36"/>
          <w:szCs w:val="36"/>
        </w:rPr>
        <w:br/>
        <w:t> </w:t>
      </w:r>
      <w:r w:rsidRPr="00EC3C83">
        <w:rPr>
          <w:rFonts w:ascii="Times New Roman" w:eastAsia="Times New Roman" w:hAnsi="Times New Roman" w:cs="Times New Roman"/>
          <w:b/>
          <w:bCs/>
          <w:color w:val="000000"/>
          <w:sz w:val="36"/>
          <w:szCs w:val="36"/>
        </w:rPr>
        <w:br/>
      </w:r>
      <w:r w:rsidRPr="00EC3C83">
        <w:rPr>
          <w:rFonts w:ascii="Times New Roman" w:eastAsia="Times New Roman" w:hAnsi="Times New Roman" w:cs="Times New Roman"/>
          <w:b/>
          <w:bCs/>
          <w:color w:val="000000"/>
          <w:sz w:val="36"/>
          <w:szCs w:val="36"/>
          <w:rtl/>
        </w:rPr>
        <w:t>الوضعية المشكلة الام</w:t>
      </w:r>
      <w:r w:rsidRPr="00EC3C83">
        <w:rPr>
          <w:rFonts w:ascii="Times New Roman" w:eastAsia="Times New Roman" w:hAnsi="Times New Roman" w:cs="Times New Roman"/>
          <w:b/>
          <w:bCs/>
          <w:color w:val="000000"/>
          <w:sz w:val="36"/>
          <w:szCs w:val="36"/>
        </w:rPr>
        <w:t xml:space="preserve"> : </w:t>
      </w:r>
      <w:r w:rsidRPr="00EC3C83">
        <w:rPr>
          <w:rFonts w:ascii="Times New Roman" w:eastAsia="Times New Roman" w:hAnsi="Times New Roman" w:cs="Times New Roman"/>
          <w:b/>
          <w:bCs/>
          <w:color w:val="000000"/>
          <w:sz w:val="36"/>
          <w:szCs w:val="36"/>
          <w:rtl/>
        </w:rPr>
        <w:t>باعتبارك مواطنا تعيش في المجتمع كثيرا ما يتناهى إلى سمعك حدوث خلافات ونزاعات بين الأفراد، سواء من أسرتك أو من محيطك، وحتى تكون عنصرا فعالا في مجتمعك، ما هي مختلف السبل التي تراها صحيحة، ومتاحة لحل تلك الخلافات بشكل سلمي يحقق العدل والمساواة المتخاصمين؟</w:t>
      </w:r>
      <w:r w:rsidRPr="00EC3C83">
        <w:rPr>
          <w:rFonts w:ascii="Times New Roman" w:eastAsia="Times New Roman" w:hAnsi="Times New Roman" w:cs="Times New Roman"/>
          <w:b/>
          <w:bCs/>
          <w:color w:val="000000"/>
          <w:sz w:val="36"/>
          <w:szCs w:val="36"/>
        </w:rPr>
        <w:br/>
      </w:r>
      <w:r w:rsidRPr="00EC3C83">
        <w:rPr>
          <w:rFonts w:ascii="Times New Roman" w:eastAsia="Times New Roman" w:hAnsi="Times New Roman" w:cs="Times New Roman"/>
          <w:b/>
          <w:bCs/>
          <w:color w:val="000000"/>
          <w:sz w:val="36"/>
          <w:szCs w:val="36"/>
          <w:rtl/>
        </w:rPr>
        <w:t>الوضعية المشكلة الجزئية</w:t>
      </w:r>
      <w:r w:rsidRPr="00EC3C83">
        <w:rPr>
          <w:rFonts w:ascii="Times New Roman" w:eastAsia="Times New Roman" w:hAnsi="Times New Roman" w:cs="Times New Roman"/>
          <w:b/>
          <w:bCs/>
          <w:color w:val="000000"/>
          <w:sz w:val="36"/>
          <w:szCs w:val="36"/>
        </w:rPr>
        <w:t xml:space="preserve"> : </w:t>
      </w:r>
      <w:r w:rsidRPr="00EC3C83">
        <w:rPr>
          <w:rFonts w:ascii="Times New Roman" w:eastAsia="Times New Roman" w:hAnsi="Times New Roman" w:cs="Times New Roman"/>
          <w:b/>
          <w:bCs/>
          <w:color w:val="000000"/>
          <w:sz w:val="36"/>
          <w:szCs w:val="36"/>
          <w:rtl/>
        </w:rPr>
        <w:t>إذا كان الوسط الاجتماعي عموما والعائلي خصوصا كثيرا ما يكون عرضة للخلافات التي يمكن أن تهدد التلاحم الاجتماعي والنسيج الأسري، فما هي الوسائل التي يمكنها احتواء الخلافات وتجنيب المجتمع ما يترتب عنها من أضرار وتفكك؟</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tbl>
      <w:tblPr>
        <w:tblpPr w:leftFromText="150" w:rightFromText="150" w:vertAnchor="text" w:tblpXSpec="right" w:tblpYSpec="center"/>
        <w:bidiVisual/>
        <w:tblW w:w="9750" w:type="dxa"/>
        <w:tblCellMar>
          <w:left w:w="0" w:type="dxa"/>
          <w:right w:w="0" w:type="dxa"/>
        </w:tblCellMar>
        <w:tblLook w:val="04A0" w:firstRow="1" w:lastRow="0" w:firstColumn="1" w:lastColumn="0" w:noHBand="0" w:noVBand="1"/>
      </w:tblPr>
      <w:tblGrid>
        <w:gridCol w:w="1397"/>
        <w:gridCol w:w="1787"/>
        <w:gridCol w:w="2681"/>
        <w:gridCol w:w="2145"/>
        <w:gridCol w:w="1740"/>
      </w:tblGrid>
      <w:tr w:rsidR="00EC3C83" w:rsidRPr="00EC3C83" w:rsidTr="00EC3C83">
        <w:trPr>
          <w:trHeight w:val="405"/>
        </w:trPr>
        <w:tc>
          <w:tcPr>
            <w:tcW w:w="993"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Pr>
            </w:pPr>
            <w:r w:rsidRPr="00EC3C83">
              <w:rPr>
                <w:rFonts w:ascii="Times New Roman" w:eastAsia="Times New Roman" w:hAnsi="Times New Roman" w:cs="Times New Roman" w:hint="cs"/>
                <w:b/>
                <w:bCs/>
                <w:color w:val="0000CC"/>
                <w:sz w:val="36"/>
                <w:szCs w:val="36"/>
                <w:rtl/>
                <w:lang w:bidi="ar-DZ"/>
              </w:rPr>
              <w:t> </w:t>
            </w:r>
          </w:p>
        </w:tc>
        <w:tc>
          <w:tcPr>
            <w:tcW w:w="1417"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FF0000"/>
                <w:sz w:val="36"/>
                <w:szCs w:val="36"/>
                <w:rtl/>
                <w:lang w:bidi="ar-DZ"/>
              </w:rPr>
              <w:t>التعريف</w:t>
            </w:r>
          </w:p>
        </w:tc>
        <w:tc>
          <w:tcPr>
            <w:tcW w:w="2126"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FF0000"/>
                <w:sz w:val="36"/>
                <w:szCs w:val="36"/>
                <w:rtl/>
                <w:lang w:bidi="ar-DZ"/>
              </w:rPr>
              <w:t>الأنواع</w:t>
            </w:r>
          </w:p>
        </w:tc>
        <w:tc>
          <w:tcPr>
            <w:tcW w:w="1701"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FF0000"/>
                <w:sz w:val="36"/>
                <w:szCs w:val="36"/>
                <w:rtl/>
                <w:lang w:bidi="ar-DZ"/>
              </w:rPr>
              <w:t>شروطهما</w:t>
            </w:r>
          </w:p>
        </w:tc>
        <w:tc>
          <w:tcPr>
            <w:tcW w:w="1380"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FF0000"/>
                <w:sz w:val="36"/>
                <w:szCs w:val="36"/>
                <w:rtl/>
                <w:lang w:bidi="ar-DZ"/>
              </w:rPr>
              <w:t>أهميتهما</w:t>
            </w:r>
          </w:p>
        </w:tc>
      </w:tr>
      <w:tr w:rsidR="00EC3C83" w:rsidRPr="00EC3C83" w:rsidTr="00EC3C83">
        <w:trPr>
          <w:trHeight w:val="570"/>
        </w:trPr>
        <w:tc>
          <w:tcPr>
            <w:tcW w:w="993"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00CC"/>
                <w:sz w:val="36"/>
                <w:szCs w:val="36"/>
                <w:rtl/>
                <w:lang w:bidi="ar-DZ"/>
              </w:rPr>
              <w:t>الصلح</w:t>
            </w:r>
          </w:p>
        </w:tc>
        <w:tc>
          <w:tcPr>
            <w:tcW w:w="1417"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هو إجراء يرمي لحل الخلافات بطريقة ودية</w:t>
            </w:r>
          </w:p>
        </w:tc>
        <w:tc>
          <w:tcPr>
            <w:tcW w:w="2126"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7030A0"/>
                <w:sz w:val="36"/>
                <w:szCs w:val="36"/>
                <w:rtl/>
                <w:lang w:bidi="ar-DZ"/>
              </w:rPr>
              <w:t>الصلح العرفي:</w:t>
            </w:r>
            <w:r w:rsidRPr="00EC3C83">
              <w:rPr>
                <w:rFonts w:ascii="Times New Roman" w:eastAsia="Times New Roman" w:hAnsi="Times New Roman" w:cs="Times New Roman" w:hint="cs"/>
                <w:b/>
                <w:bCs/>
                <w:sz w:val="36"/>
                <w:szCs w:val="36"/>
                <w:rtl/>
                <w:lang w:bidi="ar-DZ"/>
              </w:rPr>
              <w:t> تحت إشراف المعاين و المشايخ</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7030A0"/>
                <w:sz w:val="36"/>
                <w:szCs w:val="36"/>
                <w:rtl/>
                <w:lang w:bidi="ar-DZ"/>
              </w:rPr>
              <w:t>الصلح القضائي:</w:t>
            </w:r>
            <w:r w:rsidRPr="00EC3C83">
              <w:rPr>
                <w:rFonts w:ascii="Times New Roman" w:eastAsia="Times New Roman" w:hAnsi="Times New Roman" w:cs="Times New Roman" w:hint="cs"/>
                <w:b/>
                <w:bCs/>
                <w:sz w:val="36"/>
                <w:szCs w:val="36"/>
                <w:rtl/>
                <w:lang w:bidi="ar-DZ"/>
              </w:rPr>
              <w:t> داخل المحاكم ( القاضي )</w:t>
            </w:r>
          </w:p>
        </w:tc>
        <w:tc>
          <w:tcPr>
            <w:tcW w:w="1701"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وجود خصومة أو نزاع</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ـ حضور الأطراف لجلسة الصلح</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ـ التعهد بقبول النتائج المترتبة</w:t>
            </w:r>
          </w:p>
        </w:tc>
        <w:tc>
          <w:tcPr>
            <w:tcW w:w="1380" w:type="dxa"/>
            <w:vMerge w:val="restart"/>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00CC"/>
                <w:sz w:val="36"/>
                <w:szCs w:val="36"/>
                <w:rtl/>
                <w:lang w:bidi="ar-DZ"/>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ـ الحد من حجم</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المنازعات و تفاقمها</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 ـ المحافظة على التلاحم الإجتماعي</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lastRenderedPageBreak/>
              <w:t>ـ غرس القيم الحضارية في المجتمع</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00CC"/>
                <w:sz w:val="36"/>
                <w:szCs w:val="36"/>
                <w:rtl/>
                <w:lang w:bidi="ar-DZ"/>
              </w:rPr>
              <w:t> </w:t>
            </w:r>
          </w:p>
        </w:tc>
      </w:tr>
      <w:tr w:rsidR="00EC3C83" w:rsidRPr="00EC3C83" w:rsidTr="00EC3C83">
        <w:trPr>
          <w:trHeight w:val="810"/>
        </w:trPr>
        <w:tc>
          <w:tcPr>
            <w:tcW w:w="993" w:type="dxa"/>
            <w:tcBorders>
              <w:top w:val="single" w:sz="12" w:space="0" w:color="002060"/>
              <w:left w:val="single" w:sz="12" w:space="0" w:color="002060"/>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lastRenderedPageBreak/>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b/>
                <w:bCs/>
                <w:color w:val="0000CC"/>
                <w:sz w:val="36"/>
                <w:szCs w:val="36"/>
              </w:rPr>
              <w:t> </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00CC"/>
                <w:sz w:val="36"/>
                <w:szCs w:val="36"/>
                <w:rtl/>
                <w:lang w:bidi="ar-DZ"/>
              </w:rPr>
              <w:t>الوساطة</w:t>
            </w:r>
          </w:p>
        </w:tc>
        <w:tc>
          <w:tcPr>
            <w:tcW w:w="1417"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lastRenderedPageBreak/>
              <w:t xml:space="preserve">إجراء إجتماعي أو قضائي لحل </w:t>
            </w:r>
            <w:r w:rsidRPr="00EC3C83">
              <w:rPr>
                <w:rFonts w:ascii="Times New Roman" w:eastAsia="Times New Roman" w:hAnsi="Times New Roman" w:cs="Times New Roman" w:hint="cs"/>
                <w:b/>
                <w:bCs/>
                <w:sz w:val="36"/>
                <w:szCs w:val="36"/>
                <w:rtl/>
                <w:lang w:bidi="ar-DZ"/>
              </w:rPr>
              <w:lastRenderedPageBreak/>
              <w:t>النزاع وديا و ذلك بالإستعانة بطرف ثالث يتوسط بين المتنازعين</w:t>
            </w:r>
          </w:p>
        </w:tc>
        <w:tc>
          <w:tcPr>
            <w:tcW w:w="2126"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B050"/>
                <w:sz w:val="36"/>
                <w:szCs w:val="36"/>
                <w:rtl/>
                <w:lang w:bidi="ar-DZ"/>
              </w:rPr>
              <w:lastRenderedPageBreak/>
              <w:t>الوساطة المدرسية:</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 xml:space="preserve">يعين الوسيط المدرسي لإقتراح </w:t>
            </w:r>
            <w:r w:rsidRPr="00EC3C83">
              <w:rPr>
                <w:rFonts w:ascii="Times New Roman" w:eastAsia="Times New Roman" w:hAnsi="Times New Roman" w:cs="Times New Roman" w:hint="cs"/>
                <w:b/>
                <w:bCs/>
                <w:sz w:val="36"/>
                <w:szCs w:val="36"/>
                <w:rtl/>
                <w:lang w:bidi="ar-DZ"/>
              </w:rPr>
              <w:lastRenderedPageBreak/>
              <w:t>الحلول في النزاعات المدرسية</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 </w:t>
            </w:r>
            <w:r w:rsidRPr="00EC3C83">
              <w:rPr>
                <w:rFonts w:ascii="Times New Roman" w:eastAsia="Times New Roman" w:hAnsi="Times New Roman" w:cs="Times New Roman" w:hint="cs"/>
                <w:b/>
                <w:bCs/>
                <w:color w:val="00B050"/>
                <w:sz w:val="36"/>
                <w:szCs w:val="36"/>
                <w:rtl/>
                <w:lang w:bidi="ar-DZ"/>
              </w:rPr>
              <w:t>الوساطة القضائية:</w:t>
            </w:r>
            <w:r w:rsidRPr="00EC3C83">
              <w:rPr>
                <w:rFonts w:ascii="Times New Roman" w:eastAsia="Times New Roman" w:hAnsi="Times New Roman" w:cs="Times New Roman" w:hint="cs"/>
                <w:b/>
                <w:bCs/>
                <w:sz w:val="36"/>
                <w:szCs w:val="36"/>
                <w:rtl/>
                <w:lang w:bidi="ar-DZ"/>
              </w:rPr>
              <w:t> يعين القاضي وسيطا بين المتخاصمين في المحاكم</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color w:val="00B050"/>
                <w:sz w:val="36"/>
                <w:szCs w:val="36"/>
                <w:rtl/>
                <w:lang w:bidi="ar-DZ"/>
              </w:rPr>
              <w:t>الوساطة الدولية: </w:t>
            </w:r>
            <w:r w:rsidRPr="00EC3C83">
              <w:rPr>
                <w:rFonts w:ascii="Times New Roman" w:eastAsia="Times New Roman" w:hAnsi="Times New Roman" w:cs="Times New Roman" w:hint="cs"/>
                <w:b/>
                <w:bCs/>
                <w:sz w:val="36"/>
                <w:szCs w:val="36"/>
                <w:rtl/>
                <w:lang w:bidi="ar-DZ"/>
              </w:rPr>
              <w:t>تكون الدولة ويساطا أثناء الحروب و التوتر)</w:t>
            </w:r>
          </w:p>
        </w:tc>
        <w:tc>
          <w:tcPr>
            <w:tcW w:w="1701" w:type="dxa"/>
            <w:tcBorders>
              <w:top w:val="nil"/>
              <w:left w:val="nil"/>
              <w:bottom w:val="single" w:sz="12" w:space="0" w:color="002060"/>
              <w:right w:val="single" w:sz="12" w:space="0" w:color="002060"/>
            </w:tcBorders>
            <w:tcMar>
              <w:top w:w="0" w:type="dxa"/>
              <w:left w:w="70" w:type="dxa"/>
              <w:bottom w:w="0" w:type="dxa"/>
              <w:right w:w="70" w:type="dxa"/>
            </w:tcMar>
            <w:hideMark/>
          </w:tcPr>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rPr>
              <w:lastRenderedPageBreak/>
              <w:t xml:space="preserve">ـ الدعوة للقاء للوساطة و الإستماع </w:t>
            </w:r>
            <w:r w:rsidRPr="00EC3C83">
              <w:rPr>
                <w:rFonts w:ascii="Times New Roman" w:eastAsia="Times New Roman" w:hAnsi="Times New Roman" w:cs="Times New Roman" w:hint="cs"/>
                <w:b/>
                <w:bCs/>
                <w:sz w:val="36"/>
                <w:szCs w:val="36"/>
                <w:rtl/>
              </w:rPr>
              <w:lastRenderedPageBreak/>
              <w:t>للخصوم</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rPr>
              <w:t>ـ تحرير محضر لمحتوى الإتفاق</w:t>
            </w:r>
          </w:p>
          <w:p w:rsidR="00EC3C83" w:rsidRPr="00EC3C83" w:rsidRDefault="00EC3C83" w:rsidP="00EC3C83">
            <w:pPr>
              <w:bidi/>
              <w:spacing w:before="100" w:beforeAutospacing="1" w:after="100" w:afterAutospacing="1" w:line="480" w:lineRule="auto"/>
              <w:rPr>
                <w:rFonts w:ascii="Times New Roman" w:eastAsia="Times New Roman" w:hAnsi="Times New Roman" w:cs="Times New Roman"/>
                <w:b/>
                <w:bCs/>
                <w:sz w:val="36"/>
                <w:szCs w:val="36"/>
                <w:rtl/>
              </w:rPr>
            </w:pPr>
            <w:r w:rsidRPr="00EC3C83">
              <w:rPr>
                <w:rFonts w:ascii="Times New Roman" w:eastAsia="Times New Roman" w:hAnsi="Times New Roman" w:cs="Times New Roman" w:hint="cs"/>
                <w:b/>
                <w:bCs/>
                <w:sz w:val="36"/>
                <w:szCs w:val="36"/>
                <w:rtl/>
                <w:lang w:bidi="ar-DZ"/>
              </w:rPr>
              <w:t>ـ</w:t>
            </w:r>
            <w:r w:rsidRPr="00EC3C83">
              <w:rPr>
                <w:rFonts w:ascii="Times New Roman" w:eastAsia="Times New Roman" w:hAnsi="Times New Roman" w:cs="Times New Roman" w:hint="cs"/>
                <w:b/>
                <w:bCs/>
                <w:color w:val="0000CC"/>
                <w:sz w:val="36"/>
                <w:szCs w:val="36"/>
                <w:rtl/>
                <w:lang w:bidi="ar-DZ"/>
              </w:rPr>
              <w:t> </w:t>
            </w:r>
            <w:r w:rsidRPr="00EC3C83">
              <w:rPr>
                <w:rFonts w:ascii="Times New Roman" w:eastAsia="Times New Roman" w:hAnsi="Times New Roman" w:cs="Times New Roman" w:hint="cs"/>
                <w:b/>
                <w:bCs/>
                <w:sz w:val="36"/>
                <w:szCs w:val="36"/>
                <w:rtl/>
                <w:lang w:bidi="ar-DZ"/>
              </w:rPr>
              <w:t>مدتها لا تزيد عن ّ3 أشهر</w:t>
            </w:r>
          </w:p>
        </w:tc>
        <w:tc>
          <w:tcPr>
            <w:tcW w:w="0" w:type="auto"/>
            <w:vMerge/>
            <w:tcBorders>
              <w:top w:val="nil"/>
              <w:left w:val="nil"/>
              <w:bottom w:val="single" w:sz="12" w:space="0" w:color="002060"/>
              <w:right w:val="single" w:sz="12" w:space="0" w:color="002060"/>
            </w:tcBorders>
            <w:vAlign w:val="center"/>
            <w:hideMark/>
          </w:tcPr>
          <w:p w:rsidR="00EC3C83" w:rsidRPr="00EC3C83" w:rsidRDefault="00EC3C83" w:rsidP="00EC3C83">
            <w:pPr>
              <w:bidi/>
              <w:spacing w:after="0" w:line="240" w:lineRule="auto"/>
              <w:rPr>
                <w:rFonts w:ascii="Times New Roman" w:eastAsia="Times New Roman" w:hAnsi="Times New Roman" w:cs="Times New Roman"/>
                <w:b/>
                <w:bCs/>
                <w:sz w:val="36"/>
                <w:szCs w:val="36"/>
              </w:rPr>
            </w:pPr>
          </w:p>
        </w:tc>
      </w:tr>
    </w:tbl>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tl/>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tl/>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lastRenderedPageBreak/>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FF0000"/>
          <w:sz w:val="36"/>
          <w:szCs w:val="36"/>
        </w:rPr>
        <w:t> </w:t>
      </w:r>
      <w:r w:rsidRPr="00EC3C83">
        <w:rPr>
          <w:rFonts w:ascii="Times New Roman" w:eastAsia="Times New Roman" w:hAnsi="Times New Roman" w:cs="Times New Roman"/>
          <w:b/>
          <w:bCs/>
          <w:color w:val="FF0000"/>
          <w:sz w:val="36"/>
          <w:szCs w:val="36"/>
          <w:rtl/>
        </w:rPr>
        <w:t>إدماج جزئي</w:t>
      </w:r>
      <w:r w:rsidRPr="00EC3C83">
        <w:rPr>
          <w:rFonts w:ascii="Times New Roman" w:eastAsia="Times New Roman" w:hAnsi="Times New Roman" w:cs="Times New Roman"/>
          <w:b/>
          <w:bCs/>
          <w:color w:val="FF0000"/>
          <w:sz w:val="36"/>
          <w:szCs w:val="36"/>
        </w:rPr>
        <w:t xml:space="preserve"> :</w:t>
      </w:r>
      <w:r w:rsidRPr="00EC3C83">
        <w:rPr>
          <w:rFonts w:ascii="Times New Roman" w:eastAsia="Times New Roman" w:hAnsi="Times New Roman" w:cs="Times New Roman"/>
          <w:b/>
          <w:bCs/>
          <w:color w:val="000000"/>
          <w:sz w:val="36"/>
          <w:szCs w:val="36"/>
        </w:rPr>
        <w:t> </w:t>
      </w:r>
      <w:r w:rsidRPr="00EC3C83">
        <w:rPr>
          <w:rFonts w:ascii="Times New Roman" w:eastAsia="Times New Roman" w:hAnsi="Times New Roman" w:cs="Times New Roman"/>
          <w:b/>
          <w:bCs/>
          <w:color w:val="000000"/>
          <w:sz w:val="36"/>
          <w:szCs w:val="36"/>
          <w:rtl/>
        </w:rPr>
        <w:t>النشاط ص 13</w:t>
      </w:r>
      <w:r w:rsidRPr="00EC3C83">
        <w:rPr>
          <w:rFonts w:ascii="Times New Roman" w:eastAsia="Times New Roman" w:hAnsi="Times New Roman" w:cs="Times New Roman"/>
          <w:b/>
          <w:bCs/>
          <w:color w:val="000000"/>
          <w:sz w:val="36"/>
          <w:szCs w:val="36"/>
        </w:rPr>
        <w:br/>
      </w:r>
      <w:r w:rsidRPr="00EC3C83">
        <w:rPr>
          <w:rFonts w:ascii="Times New Roman" w:eastAsia="Times New Roman" w:hAnsi="Times New Roman" w:cs="Times New Roman"/>
          <w:b/>
          <w:bCs/>
          <w:color w:val="FF0000"/>
          <w:sz w:val="36"/>
          <w:szCs w:val="36"/>
        </w:rPr>
        <w:t> </w:t>
      </w:r>
      <w:r w:rsidRPr="00EC3C83">
        <w:rPr>
          <w:rFonts w:ascii="Times New Roman" w:eastAsia="Times New Roman" w:hAnsi="Times New Roman" w:cs="Times New Roman"/>
          <w:b/>
          <w:bCs/>
          <w:color w:val="FF0000"/>
          <w:sz w:val="36"/>
          <w:szCs w:val="36"/>
          <w:rtl/>
        </w:rPr>
        <w:t>الحل</w:t>
      </w:r>
      <w:r w:rsidRPr="00EC3C83">
        <w:rPr>
          <w:rFonts w:ascii="Times New Roman" w:eastAsia="Times New Roman" w:hAnsi="Times New Roman" w:cs="Times New Roman"/>
          <w:b/>
          <w:bCs/>
          <w:color w:val="FF0000"/>
          <w:sz w:val="36"/>
          <w:szCs w:val="36"/>
        </w:rPr>
        <w:t>:</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tl/>
        </w:rPr>
        <w:t>أنسب الطرق التي تقترحها على المتنازعين لحل الخلاف ما</w:t>
      </w:r>
      <w:r w:rsidRPr="00EC3C83">
        <w:rPr>
          <w:rFonts w:ascii="Times New Roman" w:eastAsia="Times New Roman" w:hAnsi="Times New Roman" w:cs="Times New Roman"/>
          <w:b/>
          <w:bCs/>
          <w:color w:val="000000"/>
          <w:sz w:val="36"/>
          <w:szCs w:val="36"/>
        </w:rPr>
        <w:t>:</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عرض جلسة صلح يحضرها طرفيّ النزاع  ودراسة المشكل بطريقة موضوعية</w:t>
      </w:r>
      <w:r w:rsidRPr="00EC3C83">
        <w:rPr>
          <w:rFonts w:ascii="Times New Roman" w:eastAsia="Times New Roman" w:hAnsi="Times New Roman" w:cs="Times New Roman"/>
          <w:b/>
          <w:bCs/>
          <w:color w:val="000000"/>
          <w:sz w:val="36"/>
          <w:szCs w:val="36"/>
        </w:rPr>
        <w:t>.</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السماع للطرفين المتنازعين والالتزام بشروط الحوار السلمي والبنّاء</w:t>
      </w:r>
      <w:r w:rsidRPr="00EC3C83">
        <w:rPr>
          <w:rFonts w:ascii="Times New Roman" w:eastAsia="Times New Roman" w:hAnsi="Times New Roman" w:cs="Times New Roman"/>
          <w:b/>
          <w:bCs/>
          <w:color w:val="000000"/>
          <w:sz w:val="36"/>
          <w:szCs w:val="36"/>
        </w:rPr>
        <w:t>.</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التوسط بين الطرفين قصد التعقل والتنازل في بعض الحقوق</w:t>
      </w:r>
      <w:r w:rsidRPr="00EC3C83">
        <w:rPr>
          <w:rFonts w:ascii="Times New Roman" w:eastAsia="Times New Roman" w:hAnsi="Times New Roman" w:cs="Times New Roman"/>
          <w:b/>
          <w:bCs/>
          <w:color w:val="000000"/>
          <w:sz w:val="36"/>
          <w:szCs w:val="36"/>
        </w:rPr>
        <w:t>.</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 xml:space="preserve">تعهد الطرفين بإجماع مجلس </w:t>
      </w:r>
      <w:proofErr w:type="gramStart"/>
      <w:r w:rsidRPr="00EC3C83">
        <w:rPr>
          <w:rFonts w:ascii="Times New Roman" w:eastAsia="Times New Roman" w:hAnsi="Times New Roman" w:cs="Times New Roman"/>
          <w:b/>
          <w:bCs/>
          <w:color w:val="000000"/>
          <w:sz w:val="36"/>
          <w:szCs w:val="36"/>
          <w:rtl/>
        </w:rPr>
        <w:t>الصلح )</w:t>
      </w:r>
      <w:proofErr w:type="gramEnd"/>
      <w:r w:rsidRPr="00EC3C83">
        <w:rPr>
          <w:rFonts w:ascii="Times New Roman" w:eastAsia="Times New Roman" w:hAnsi="Times New Roman" w:cs="Times New Roman"/>
          <w:b/>
          <w:bCs/>
          <w:color w:val="000000"/>
          <w:sz w:val="36"/>
          <w:szCs w:val="36"/>
          <w:rtl/>
        </w:rPr>
        <w:t xml:space="preserve"> الشهود( على عدم العودة للنزاع</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000000"/>
          <w:sz w:val="36"/>
          <w:szCs w:val="36"/>
        </w:rPr>
        <w:t> </w:t>
      </w:r>
    </w:p>
    <w:p w:rsidR="00EC3C83" w:rsidRPr="00EC3C83" w:rsidRDefault="00EC3C83" w:rsidP="00EC3C83">
      <w:pPr>
        <w:shd w:val="clear" w:color="auto" w:fill="FFFFFF"/>
        <w:bidi/>
        <w:spacing w:after="0" w:line="240" w:lineRule="auto"/>
        <w:rPr>
          <w:rFonts w:ascii="Times New Roman" w:eastAsia="Times New Roman" w:hAnsi="Times New Roman" w:cs="Times New Roman"/>
          <w:b/>
          <w:bCs/>
          <w:color w:val="000000"/>
          <w:sz w:val="36"/>
          <w:szCs w:val="36"/>
        </w:rPr>
      </w:pPr>
      <w:r w:rsidRPr="00EC3C83">
        <w:rPr>
          <w:rFonts w:ascii="Times New Roman" w:eastAsia="Times New Roman" w:hAnsi="Times New Roman" w:cs="Times New Roman"/>
          <w:b/>
          <w:bCs/>
          <w:color w:val="FF0000"/>
          <w:sz w:val="36"/>
          <w:szCs w:val="36"/>
          <w:u w:val="single"/>
          <w:rtl/>
        </w:rPr>
        <w:t>المصطلحات</w:t>
      </w:r>
      <w:r w:rsidRPr="00EC3C83">
        <w:rPr>
          <w:rFonts w:ascii="Times New Roman" w:eastAsia="Times New Roman" w:hAnsi="Times New Roman" w:cs="Times New Roman"/>
          <w:b/>
          <w:bCs/>
          <w:color w:val="FF0000"/>
          <w:sz w:val="36"/>
          <w:szCs w:val="36"/>
          <w:u w:val="single"/>
        </w:rPr>
        <w:t xml:space="preserve"> :</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الخلاف الاجتماعي: هو التضاد و عدم التوافق بين طرفين أو أكثر مما يؤدي إلى الاحتكاك و التصادم</w:t>
      </w:r>
      <w:r w:rsidRPr="00EC3C83">
        <w:rPr>
          <w:rFonts w:ascii="Times New Roman" w:eastAsia="Times New Roman" w:hAnsi="Times New Roman" w:cs="Times New Roman"/>
          <w:b/>
          <w:bCs/>
          <w:color w:val="000000"/>
          <w:sz w:val="36"/>
          <w:szCs w:val="36"/>
        </w:rPr>
        <w:br/>
        <w:t xml:space="preserve">• </w:t>
      </w:r>
      <w:r w:rsidRPr="00EC3C83">
        <w:rPr>
          <w:rFonts w:ascii="Times New Roman" w:eastAsia="Times New Roman" w:hAnsi="Times New Roman" w:cs="Times New Roman"/>
          <w:b/>
          <w:bCs/>
          <w:color w:val="000000"/>
          <w:sz w:val="36"/>
          <w:szCs w:val="36"/>
          <w:rtl/>
        </w:rPr>
        <w:t>الوسيط : هو كل شخص طبيعي أو معنوي يعمل على حل الخلافات والنزاعات وإصلاح ذات البين بطريقة ودية بين المتخاصمين</w:t>
      </w:r>
      <w:r w:rsidRPr="00EC3C83">
        <w:rPr>
          <w:rFonts w:ascii="Times New Roman" w:eastAsia="Times New Roman" w:hAnsi="Times New Roman" w:cs="Times New Roman"/>
          <w:b/>
          <w:bCs/>
          <w:color w:val="000000"/>
          <w:sz w:val="36"/>
          <w:szCs w:val="36"/>
        </w:rPr>
        <w:t>.</w:t>
      </w:r>
    </w:p>
    <w:p w:rsidR="00FC6691" w:rsidRPr="00EC3C83" w:rsidRDefault="00FC6691" w:rsidP="00EC3C83">
      <w:pPr>
        <w:bidi/>
        <w:rPr>
          <w:b/>
          <w:bCs/>
          <w:sz w:val="36"/>
          <w:szCs w:val="36"/>
        </w:rPr>
      </w:pPr>
    </w:p>
    <w:sectPr w:rsidR="00FC6691" w:rsidRPr="00EC3C83"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EC3C83"/>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2024-09-01T12:41:00Z</dcterms:modified>
</cp:coreProperties>
</file>