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tl/>
        </w:rPr>
        <w:t>المادة</w:t>
      </w:r>
      <w:r w:rsidRPr="001A67CA">
        <w:rPr>
          <w:rFonts w:ascii="Times New Roman" w:eastAsia="Times New Roman" w:hAnsi="Times New Roman" w:cs="Times New Roman"/>
          <w:b/>
          <w:bCs/>
          <w:color w:val="000000"/>
          <w:sz w:val="36"/>
          <w:szCs w:val="36"/>
        </w:rPr>
        <w:t xml:space="preserve"> : </w:t>
      </w:r>
      <w:r w:rsidRPr="001A67CA">
        <w:rPr>
          <w:rFonts w:ascii="Times New Roman" w:eastAsia="Times New Roman" w:hAnsi="Times New Roman" w:cs="Times New Roman"/>
          <w:b/>
          <w:bCs/>
          <w:color w:val="000000"/>
          <w:sz w:val="36"/>
          <w:szCs w:val="36"/>
          <w:rtl/>
        </w:rPr>
        <w:t>تربية مدنية</w:t>
      </w:r>
      <w:r w:rsidRPr="001A67CA">
        <w:rPr>
          <w:rFonts w:ascii="Times New Roman" w:eastAsia="Times New Roman" w:hAnsi="Times New Roman" w:cs="Times New Roman"/>
          <w:b/>
          <w:bCs/>
          <w:color w:val="000000"/>
          <w:sz w:val="36"/>
          <w:szCs w:val="36"/>
        </w:rPr>
        <w:t xml:space="preserve"> - </w:t>
      </w:r>
      <w:r w:rsidRPr="001A67CA">
        <w:rPr>
          <w:rFonts w:ascii="Times New Roman" w:eastAsia="Times New Roman" w:hAnsi="Times New Roman" w:cs="Times New Roman"/>
          <w:b/>
          <w:bCs/>
          <w:color w:val="000000"/>
          <w:sz w:val="36"/>
          <w:szCs w:val="36"/>
          <w:rtl/>
        </w:rPr>
        <w:t>المستوى</w:t>
      </w:r>
      <w:r w:rsidRPr="001A67CA">
        <w:rPr>
          <w:rFonts w:ascii="Times New Roman" w:eastAsia="Times New Roman" w:hAnsi="Times New Roman" w:cs="Times New Roman"/>
          <w:b/>
          <w:bCs/>
          <w:color w:val="000000"/>
          <w:sz w:val="36"/>
          <w:szCs w:val="36"/>
        </w:rPr>
        <w:t xml:space="preserve"> : 4 </w:t>
      </w:r>
      <w:r w:rsidRPr="001A67CA">
        <w:rPr>
          <w:rFonts w:ascii="Times New Roman" w:eastAsia="Times New Roman" w:hAnsi="Times New Roman" w:cs="Times New Roman"/>
          <w:b/>
          <w:bCs/>
          <w:color w:val="000000"/>
          <w:sz w:val="36"/>
          <w:szCs w:val="36"/>
          <w:rtl/>
        </w:rPr>
        <w:t>متوسط (الجيل الثاني)</w:t>
      </w:r>
      <w:r w:rsidRPr="001A67CA">
        <w:rPr>
          <w:rFonts w:ascii="Times New Roman" w:eastAsia="Times New Roman" w:hAnsi="Times New Roman" w:cs="Times New Roman"/>
          <w:b/>
          <w:bCs/>
          <w:color w:val="000000"/>
          <w:sz w:val="36"/>
          <w:szCs w:val="36"/>
        </w:rPr>
        <w:br/>
      </w:r>
      <w:r w:rsidRPr="001A67CA">
        <w:rPr>
          <w:rFonts w:ascii="Times New Roman" w:eastAsia="Times New Roman" w:hAnsi="Times New Roman" w:cs="Times New Roman"/>
          <w:b/>
          <w:bCs/>
          <w:color w:val="000000"/>
          <w:sz w:val="36"/>
          <w:szCs w:val="36"/>
          <w:rtl/>
        </w:rPr>
        <w:t>المقطع التعلمي الأول</w:t>
      </w:r>
      <w:r w:rsidRPr="001A67CA">
        <w:rPr>
          <w:rFonts w:ascii="Times New Roman" w:eastAsia="Times New Roman" w:hAnsi="Times New Roman" w:cs="Times New Roman"/>
          <w:b/>
          <w:bCs/>
          <w:color w:val="000000"/>
          <w:sz w:val="36"/>
          <w:szCs w:val="36"/>
        </w:rPr>
        <w:t xml:space="preserve"> : </w:t>
      </w:r>
      <w:r w:rsidRPr="001A67CA">
        <w:rPr>
          <w:rFonts w:ascii="Times New Roman" w:eastAsia="Times New Roman" w:hAnsi="Times New Roman" w:cs="Times New Roman"/>
          <w:b/>
          <w:bCs/>
          <w:color w:val="000000"/>
          <w:sz w:val="36"/>
          <w:szCs w:val="36"/>
          <w:rtl/>
        </w:rPr>
        <w:t>الحياة الجماعية</w:t>
      </w:r>
      <w:r w:rsidRPr="001A67CA">
        <w:rPr>
          <w:rFonts w:ascii="Times New Roman" w:eastAsia="Times New Roman" w:hAnsi="Times New Roman" w:cs="Times New Roman"/>
          <w:b/>
          <w:bCs/>
          <w:color w:val="000000"/>
          <w:sz w:val="36"/>
          <w:szCs w:val="36"/>
        </w:rPr>
        <w:br/>
      </w:r>
      <w:r w:rsidRPr="001A67CA">
        <w:rPr>
          <w:rFonts w:ascii="Times New Roman" w:eastAsia="Times New Roman" w:hAnsi="Times New Roman" w:cs="Times New Roman"/>
          <w:b/>
          <w:bCs/>
          <w:color w:val="000000"/>
          <w:sz w:val="36"/>
          <w:szCs w:val="36"/>
          <w:rtl/>
        </w:rPr>
        <w:t>الوضعية التعلمية</w:t>
      </w:r>
      <w:r w:rsidRPr="001A67CA">
        <w:rPr>
          <w:rFonts w:ascii="Times New Roman" w:eastAsia="Times New Roman" w:hAnsi="Times New Roman" w:cs="Times New Roman"/>
          <w:b/>
          <w:bCs/>
          <w:color w:val="000000"/>
          <w:sz w:val="36"/>
          <w:szCs w:val="36"/>
        </w:rPr>
        <w:t xml:space="preserve"> : </w:t>
      </w:r>
      <w:r w:rsidRPr="001A67CA">
        <w:rPr>
          <w:rFonts w:ascii="Times New Roman" w:eastAsia="Times New Roman" w:hAnsi="Times New Roman" w:cs="Times New Roman"/>
          <w:b/>
          <w:bCs/>
          <w:color w:val="0000FF"/>
          <w:sz w:val="36"/>
          <w:szCs w:val="36"/>
          <w:rtl/>
        </w:rPr>
        <w:t>مؤسسات القضاء</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r w:rsidRPr="001A67CA">
        <w:rPr>
          <w:rFonts w:ascii="Times New Roman" w:eastAsia="Times New Roman" w:hAnsi="Times New Roman" w:cs="Times New Roman"/>
          <w:b/>
          <w:bCs/>
          <w:color w:val="000000"/>
          <w:sz w:val="36"/>
          <w:szCs w:val="36"/>
          <w:rtl/>
        </w:rPr>
        <w:t>الوضعية المشكلة الجزئية</w:t>
      </w:r>
      <w:r w:rsidRPr="001A67CA">
        <w:rPr>
          <w:rFonts w:ascii="Times New Roman" w:eastAsia="Times New Roman" w:hAnsi="Times New Roman" w:cs="Times New Roman"/>
          <w:b/>
          <w:bCs/>
          <w:color w:val="000000"/>
          <w:sz w:val="36"/>
          <w:szCs w:val="36"/>
        </w:rPr>
        <w:t xml:space="preserve"> : </w:t>
      </w:r>
      <w:r w:rsidRPr="001A67CA">
        <w:rPr>
          <w:rFonts w:ascii="Times New Roman" w:eastAsia="Times New Roman" w:hAnsi="Times New Roman" w:cs="Times New Roman"/>
          <w:b/>
          <w:bCs/>
          <w:color w:val="000000"/>
          <w:sz w:val="36"/>
          <w:szCs w:val="36"/>
          <w:rtl/>
        </w:rPr>
        <w:t>لما كان الصلح والوساطة لا يؤديان بالضرورة إلى حل الخلافات والنزاعات بين المواطنين، فكيف يكون التقاضي وجهة أخرى أمام المجتمع لتجاوز ما يحدث فيه من نزاعات ؟</w:t>
      </w:r>
      <w:r w:rsidRPr="001A67CA">
        <w:rPr>
          <w:rFonts w:ascii="Times New Roman" w:eastAsia="Times New Roman" w:hAnsi="Times New Roman" w:cs="Times New Roman"/>
          <w:b/>
          <w:bCs/>
          <w:color w:val="000000"/>
          <w:sz w:val="36"/>
          <w:szCs w:val="36"/>
        </w:rPr>
        <w:br/>
      </w:r>
      <w:r w:rsidRPr="001A67CA">
        <w:rPr>
          <w:rFonts w:ascii="Times New Roman" w:eastAsia="Times New Roman" w:hAnsi="Times New Roman" w:cs="Times New Roman"/>
          <w:b/>
          <w:bCs/>
          <w:color w:val="000000"/>
          <w:sz w:val="36"/>
          <w:szCs w:val="36"/>
        </w:rPr>
        <w:br/>
      </w:r>
      <w:r w:rsidRPr="001A67CA">
        <w:rPr>
          <w:rFonts w:ascii="Times New Roman" w:eastAsia="Times New Roman" w:hAnsi="Times New Roman" w:cs="Times New Roman"/>
          <w:b/>
          <w:bCs/>
          <w:color w:val="FF0000"/>
          <w:sz w:val="36"/>
          <w:szCs w:val="36"/>
        </w:rPr>
        <w:t xml:space="preserve">1 </w:t>
      </w:r>
      <w:r w:rsidRPr="001A67CA">
        <w:rPr>
          <w:rFonts w:ascii="Times New Roman" w:eastAsia="Times New Roman" w:hAnsi="Times New Roman" w:cs="Times New Roman"/>
          <w:b/>
          <w:bCs/>
          <w:color w:val="FF0000"/>
          <w:sz w:val="36"/>
          <w:szCs w:val="36"/>
          <w:rtl/>
        </w:rPr>
        <w:t>ـ تعريف التقاضي</w:t>
      </w:r>
      <w:r w:rsidRPr="001A67CA">
        <w:rPr>
          <w:rFonts w:ascii="Times New Roman" w:eastAsia="Times New Roman" w:hAnsi="Times New Roman" w:cs="Times New Roman"/>
          <w:b/>
          <w:bCs/>
          <w:color w:val="FF0000"/>
          <w:sz w:val="36"/>
          <w:szCs w:val="36"/>
        </w:rPr>
        <w:t xml:space="preserve"> :</w:t>
      </w:r>
      <w:r w:rsidRPr="001A67CA">
        <w:rPr>
          <w:rFonts w:ascii="Times New Roman" w:eastAsia="Times New Roman" w:hAnsi="Times New Roman" w:cs="Times New Roman"/>
          <w:b/>
          <w:bCs/>
          <w:color w:val="000000"/>
          <w:sz w:val="36"/>
          <w:szCs w:val="36"/>
        </w:rPr>
        <w:t> </w:t>
      </w:r>
      <w:r w:rsidRPr="001A67CA">
        <w:rPr>
          <w:rFonts w:ascii="Times New Roman" w:eastAsia="Times New Roman" w:hAnsi="Times New Roman" w:cs="Times New Roman"/>
          <w:b/>
          <w:bCs/>
          <w:color w:val="000000"/>
          <w:sz w:val="36"/>
          <w:szCs w:val="36"/>
          <w:rtl/>
        </w:rPr>
        <w:t>هو حق دستوري يلجأ إليه الأشخاص الذين تعرضوا للظلم و الإعتداء  لاسترجاع  حقوقهم و حرياتهم</w:t>
      </w:r>
      <w:r w:rsidRPr="001A67CA">
        <w:rPr>
          <w:rFonts w:ascii="Times New Roman" w:eastAsia="Times New Roman" w:hAnsi="Times New Roman" w:cs="Times New Roman"/>
          <w:b/>
          <w:bCs/>
          <w:color w:val="000000"/>
          <w:sz w:val="36"/>
          <w:szCs w:val="36"/>
        </w:rPr>
        <w:t>.</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br/>
      </w:r>
      <w:r w:rsidRPr="001A67CA">
        <w:rPr>
          <w:rFonts w:ascii="Times New Roman" w:eastAsia="Times New Roman" w:hAnsi="Times New Roman" w:cs="Times New Roman"/>
          <w:b/>
          <w:bCs/>
          <w:color w:val="FF0000"/>
          <w:sz w:val="36"/>
          <w:szCs w:val="36"/>
        </w:rPr>
        <w:t xml:space="preserve">2 </w:t>
      </w:r>
      <w:r w:rsidRPr="001A67CA">
        <w:rPr>
          <w:rFonts w:ascii="Times New Roman" w:eastAsia="Times New Roman" w:hAnsi="Times New Roman" w:cs="Times New Roman"/>
          <w:b/>
          <w:bCs/>
          <w:color w:val="FF0000"/>
          <w:sz w:val="36"/>
          <w:szCs w:val="36"/>
          <w:rtl/>
        </w:rPr>
        <w:t xml:space="preserve">ـ مؤسسات </w:t>
      </w:r>
      <w:proofErr w:type="gramStart"/>
      <w:r w:rsidRPr="001A67CA">
        <w:rPr>
          <w:rFonts w:ascii="Times New Roman" w:eastAsia="Times New Roman" w:hAnsi="Times New Roman" w:cs="Times New Roman"/>
          <w:b/>
          <w:bCs/>
          <w:color w:val="FF0000"/>
          <w:sz w:val="36"/>
          <w:szCs w:val="36"/>
          <w:rtl/>
        </w:rPr>
        <w:t>القضاء</w:t>
      </w:r>
      <w:r w:rsidRPr="001A67CA">
        <w:rPr>
          <w:rFonts w:ascii="Times New Roman" w:eastAsia="Times New Roman" w:hAnsi="Times New Roman" w:cs="Times New Roman"/>
          <w:b/>
          <w:bCs/>
          <w:color w:val="FF0000"/>
          <w:sz w:val="36"/>
          <w:szCs w:val="36"/>
        </w:rPr>
        <w:t xml:space="preserve"> :</w:t>
      </w:r>
      <w:proofErr w:type="gramEnd"/>
    </w:p>
    <w:tbl>
      <w:tblPr>
        <w:tblpPr w:leftFromText="150" w:rightFromText="150" w:vertAnchor="text" w:tblpXSpec="right" w:tblpYSpec="center"/>
        <w:bidiVisual/>
        <w:tblW w:w="0" w:type="auto"/>
        <w:tblCellMar>
          <w:left w:w="0" w:type="dxa"/>
          <w:right w:w="0" w:type="dxa"/>
        </w:tblCellMar>
        <w:tblLook w:val="04A0" w:firstRow="1" w:lastRow="0" w:firstColumn="1" w:lastColumn="0" w:noHBand="0" w:noVBand="1"/>
      </w:tblPr>
      <w:tblGrid>
        <w:gridCol w:w="983"/>
        <w:gridCol w:w="2305"/>
        <w:gridCol w:w="3390"/>
        <w:gridCol w:w="1297"/>
        <w:gridCol w:w="230"/>
      </w:tblGrid>
      <w:tr w:rsidR="001A67CA" w:rsidRPr="001A67CA" w:rsidTr="001A67CA">
        <w:trPr>
          <w:trHeight w:val="495"/>
        </w:trPr>
        <w:tc>
          <w:tcPr>
            <w:tcW w:w="885" w:type="dxa"/>
            <w:tcBorders>
              <w:top w:val="single" w:sz="12" w:space="0" w:color="00B050"/>
              <w:left w:val="single" w:sz="12" w:space="0" w:color="00B050"/>
              <w:bottom w:val="single" w:sz="12" w:space="0" w:color="00B050"/>
              <w:right w:val="single" w:sz="12" w:space="0" w:color="00B050"/>
            </w:tcBorders>
            <w:tcMar>
              <w:top w:w="0" w:type="dxa"/>
              <w:left w:w="70" w:type="dxa"/>
              <w:bottom w:w="0" w:type="dxa"/>
              <w:right w:w="70" w:type="dxa"/>
            </w:tcMar>
            <w:hideMark/>
          </w:tcPr>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Pr>
            </w:pPr>
            <w:r w:rsidRPr="001A67CA">
              <w:rPr>
                <w:rFonts w:ascii="Times New Roman" w:eastAsia="Times New Roman" w:hAnsi="Times New Roman" w:cs="Times New Roman" w:hint="cs"/>
                <w:b/>
                <w:bCs/>
                <w:color w:val="A50021"/>
                <w:sz w:val="36"/>
                <w:szCs w:val="36"/>
                <w:rtl/>
                <w:lang w:bidi="ar-DZ"/>
              </w:rPr>
              <w:t>القضاء</w:t>
            </w:r>
          </w:p>
        </w:tc>
        <w:tc>
          <w:tcPr>
            <w:tcW w:w="1605" w:type="dxa"/>
            <w:tcBorders>
              <w:top w:val="single" w:sz="12" w:space="0" w:color="00B050"/>
              <w:left w:val="single" w:sz="12" w:space="0" w:color="00B050"/>
              <w:bottom w:val="single" w:sz="12" w:space="0" w:color="00B050"/>
              <w:right w:val="single" w:sz="12" w:space="0" w:color="00B050"/>
            </w:tcBorders>
            <w:tcMar>
              <w:top w:w="0" w:type="dxa"/>
              <w:left w:w="70" w:type="dxa"/>
              <w:bottom w:w="0" w:type="dxa"/>
              <w:right w:w="70" w:type="dxa"/>
            </w:tcMar>
            <w:hideMark/>
          </w:tcPr>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color w:val="A50021"/>
                <w:sz w:val="36"/>
                <w:szCs w:val="36"/>
                <w:rtl/>
                <w:lang w:bidi="ar-DZ"/>
              </w:rPr>
              <w:t>التعريف</w:t>
            </w:r>
          </w:p>
        </w:tc>
        <w:tc>
          <w:tcPr>
            <w:tcW w:w="3390" w:type="dxa"/>
            <w:tcBorders>
              <w:top w:val="single" w:sz="12" w:space="0" w:color="00B050"/>
              <w:left w:val="single" w:sz="12" w:space="0" w:color="00B050"/>
              <w:bottom w:val="single" w:sz="12" w:space="0" w:color="00B050"/>
              <w:right w:val="single" w:sz="12" w:space="0" w:color="00B050"/>
            </w:tcBorders>
            <w:tcMar>
              <w:top w:w="0" w:type="dxa"/>
              <w:left w:w="70" w:type="dxa"/>
              <w:bottom w:w="0" w:type="dxa"/>
              <w:right w:w="70" w:type="dxa"/>
            </w:tcMar>
            <w:hideMark/>
          </w:tcPr>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color w:val="A50021"/>
                <w:sz w:val="36"/>
                <w:szCs w:val="36"/>
                <w:rtl/>
                <w:lang w:bidi="ar-DZ"/>
              </w:rPr>
              <w:t>الهياكل</w:t>
            </w:r>
          </w:p>
        </w:tc>
        <w:tc>
          <w:tcPr>
            <w:tcW w:w="1245" w:type="dxa"/>
            <w:tcBorders>
              <w:top w:val="single" w:sz="12" w:space="0" w:color="00B050"/>
              <w:left w:val="single" w:sz="12" w:space="0" w:color="00B050"/>
              <w:bottom w:val="single" w:sz="12" w:space="0" w:color="00B050"/>
              <w:right w:val="single" w:sz="12" w:space="0" w:color="00B050"/>
            </w:tcBorders>
            <w:tcMar>
              <w:top w:w="0" w:type="dxa"/>
              <w:left w:w="70" w:type="dxa"/>
              <w:bottom w:w="0" w:type="dxa"/>
              <w:right w:w="70" w:type="dxa"/>
            </w:tcMar>
            <w:hideMark/>
          </w:tcPr>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color w:val="A50021"/>
                <w:sz w:val="36"/>
                <w:szCs w:val="36"/>
                <w:rtl/>
                <w:lang w:bidi="ar-DZ"/>
              </w:rPr>
              <w:t>الدور</w:t>
            </w:r>
          </w:p>
        </w:tc>
        <w:tc>
          <w:tcPr>
            <w:tcW w:w="217" w:type="dxa"/>
            <w:vMerge w:val="restart"/>
            <w:tcBorders>
              <w:top w:val="nil"/>
              <w:left w:val="nil"/>
              <w:bottom w:val="nil"/>
              <w:right w:val="nil"/>
            </w:tcBorders>
            <w:tcMar>
              <w:top w:w="0" w:type="dxa"/>
              <w:left w:w="70" w:type="dxa"/>
              <w:bottom w:w="0" w:type="dxa"/>
              <w:right w:w="70" w:type="dxa"/>
            </w:tcMar>
            <w:hideMark/>
          </w:tcPr>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color w:val="A50021"/>
                <w:sz w:val="36"/>
                <w:szCs w:val="36"/>
                <w:rtl/>
                <w:lang w:bidi="ar-DZ"/>
              </w:rPr>
              <w:t> </w:t>
            </w:r>
          </w:p>
        </w:tc>
      </w:tr>
      <w:tr w:rsidR="001A67CA" w:rsidRPr="001A67CA" w:rsidTr="001A67CA">
        <w:trPr>
          <w:trHeight w:val="1575"/>
        </w:trPr>
        <w:tc>
          <w:tcPr>
            <w:tcW w:w="885" w:type="dxa"/>
            <w:tcBorders>
              <w:top w:val="single" w:sz="12" w:space="0" w:color="00B050"/>
              <w:left w:val="single" w:sz="12" w:space="0" w:color="00B050"/>
              <w:bottom w:val="single" w:sz="12" w:space="0" w:color="00B050"/>
              <w:right w:val="single" w:sz="12" w:space="0" w:color="00B050"/>
            </w:tcBorders>
            <w:tcMar>
              <w:top w:w="0" w:type="dxa"/>
              <w:left w:w="70" w:type="dxa"/>
              <w:bottom w:w="0" w:type="dxa"/>
              <w:right w:w="70" w:type="dxa"/>
            </w:tcMar>
            <w:hideMark/>
          </w:tcPr>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color w:val="FF0066"/>
                <w:sz w:val="36"/>
                <w:szCs w:val="36"/>
                <w:rtl/>
                <w:lang w:bidi="ar-DZ"/>
              </w:rPr>
              <w:t> </w:t>
            </w:r>
          </w:p>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b/>
                <w:bCs/>
                <w:color w:val="FF0066"/>
                <w:sz w:val="36"/>
                <w:szCs w:val="36"/>
              </w:rPr>
              <w:t> </w:t>
            </w:r>
          </w:p>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b/>
                <w:bCs/>
                <w:color w:val="FF0066"/>
                <w:sz w:val="36"/>
                <w:szCs w:val="36"/>
              </w:rPr>
              <w:t> </w:t>
            </w:r>
          </w:p>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b/>
                <w:bCs/>
                <w:color w:val="FF0066"/>
                <w:sz w:val="36"/>
                <w:szCs w:val="36"/>
              </w:rPr>
              <w:t> </w:t>
            </w:r>
          </w:p>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color w:val="FF0066"/>
                <w:sz w:val="36"/>
                <w:szCs w:val="36"/>
                <w:rtl/>
                <w:lang w:bidi="ar-DZ"/>
              </w:rPr>
              <w:t>العادي</w:t>
            </w:r>
          </w:p>
        </w:tc>
        <w:tc>
          <w:tcPr>
            <w:tcW w:w="1605" w:type="dxa"/>
            <w:tcBorders>
              <w:top w:val="nil"/>
              <w:left w:val="nil"/>
              <w:bottom w:val="single" w:sz="12" w:space="0" w:color="00B050"/>
              <w:right w:val="single" w:sz="12" w:space="0" w:color="00B050"/>
            </w:tcBorders>
            <w:tcMar>
              <w:top w:w="0" w:type="dxa"/>
              <w:left w:w="70" w:type="dxa"/>
              <w:bottom w:w="0" w:type="dxa"/>
              <w:right w:w="70" w:type="dxa"/>
            </w:tcMar>
            <w:hideMark/>
          </w:tcPr>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sz w:val="36"/>
                <w:szCs w:val="36"/>
                <w:rtl/>
                <w:lang w:bidi="ar-DZ"/>
              </w:rPr>
              <w:t> </w:t>
            </w:r>
          </w:p>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sz w:val="36"/>
                <w:szCs w:val="36"/>
                <w:rtl/>
                <w:lang w:bidi="ar-DZ"/>
              </w:rPr>
              <w:t> </w:t>
            </w:r>
          </w:p>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sz w:val="36"/>
                <w:szCs w:val="36"/>
                <w:rtl/>
                <w:lang w:bidi="ar-DZ"/>
              </w:rPr>
              <w:t> </w:t>
            </w:r>
          </w:p>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sz w:val="36"/>
                <w:szCs w:val="36"/>
                <w:rtl/>
                <w:lang w:bidi="ar-DZ"/>
              </w:rPr>
              <w:t>قضاء يفصل في النزاعات التي تنشأ بين الأفراد</w:t>
            </w:r>
          </w:p>
        </w:tc>
        <w:tc>
          <w:tcPr>
            <w:tcW w:w="3390" w:type="dxa"/>
            <w:tcBorders>
              <w:top w:val="nil"/>
              <w:left w:val="nil"/>
              <w:bottom w:val="single" w:sz="12" w:space="0" w:color="00B050"/>
              <w:right w:val="single" w:sz="12" w:space="0" w:color="00B050"/>
            </w:tcBorders>
            <w:tcMar>
              <w:top w:w="0" w:type="dxa"/>
              <w:left w:w="70" w:type="dxa"/>
              <w:bottom w:w="0" w:type="dxa"/>
              <w:right w:w="70" w:type="dxa"/>
            </w:tcMar>
            <w:hideMark/>
          </w:tcPr>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color w:val="0000CC"/>
                <w:sz w:val="36"/>
                <w:szCs w:val="36"/>
                <w:rtl/>
                <w:lang w:bidi="ar-DZ"/>
              </w:rPr>
              <w:t>المحاكم الإبتدائية:</w:t>
            </w:r>
            <w:r w:rsidRPr="001A67CA">
              <w:rPr>
                <w:rFonts w:ascii="Times New Roman" w:eastAsia="Times New Roman" w:hAnsi="Times New Roman" w:cs="Times New Roman" w:hint="cs"/>
                <w:b/>
                <w:bCs/>
                <w:sz w:val="36"/>
                <w:szCs w:val="36"/>
                <w:rtl/>
                <w:lang w:bidi="ar-DZ"/>
              </w:rPr>
              <w:t> تعتبر قاعدة الهرم القضائي، ترفع إليها أغلب القضايا لأول مرة توجد بالدوائر ( 193 )</w:t>
            </w:r>
          </w:p>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color w:val="0000CC"/>
                <w:sz w:val="36"/>
                <w:szCs w:val="36"/>
                <w:rtl/>
                <w:lang w:bidi="ar-DZ"/>
              </w:rPr>
              <w:t>المجالس القضائية:</w:t>
            </w:r>
            <w:r w:rsidRPr="001A67CA">
              <w:rPr>
                <w:rFonts w:ascii="Times New Roman" w:eastAsia="Times New Roman" w:hAnsi="Times New Roman" w:cs="Times New Roman" w:hint="cs"/>
                <w:b/>
                <w:bCs/>
                <w:sz w:val="36"/>
                <w:szCs w:val="36"/>
                <w:rtl/>
                <w:lang w:bidi="ar-DZ"/>
              </w:rPr>
              <w:t> هو جهة استئناف الأحكام الإبتدائية موجود على مستوى الولايات</w:t>
            </w:r>
          </w:p>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color w:val="0000CC"/>
                <w:sz w:val="36"/>
                <w:szCs w:val="36"/>
                <w:rtl/>
                <w:lang w:bidi="ar-DZ"/>
              </w:rPr>
              <w:t>المحكمة العليا:</w:t>
            </w:r>
            <w:r w:rsidRPr="001A67CA">
              <w:rPr>
                <w:rFonts w:ascii="Times New Roman" w:eastAsia="Times New Roman" w:hAnsi="Times New Roman" w:cs="Times New Roman" w:hint="cs"/>
                <w:b/>
                <w:bCs/>
                <w:sz w:val="36"/>
                <w:szCs w:val="36"/>
                <w:rtl/>
                <w:lang w:bidi="ar-DZ"/>
              </w:rPr>
              <w:t xml:space="preserve"> تأتي في قمة الهرم القضائي مقرها </w:t>
            </w:r>
            <w:r w:rsidRPr="001A67CA">
              <w:rPr>
                <w:rFonts w:ascii="Times New Roman" w:eastAsia="Times New Roman" w:hAnsi="Times New Roman" w:cs="Times New Roman" w:hint="cs"/>
                <w:b/>
                <w:bCs/>
                <w:sz w:val="36"/>
                <w:szCs w:val="36"/>
                <w:rtl/>
                <w:lang w:bidi="ar-DZ"/>
              </w:rPr>
              <w:lastRenderedPageBreak/>
              <w:t>الجزائر العاصمة</w:t>
            </w:r>
            <w:r w:rsidRPr="001A67CA">
              <w:rPr>
                <w:rFonts w:ascii="Times New Roman" w:eastAsia="Times New Roman" w:hAnsi="Times New Roman" w:cs="Times New Roman" w:hint="cs"/>
                <w:b/>
                <w:bCs/>
                <w:sz w:val="36"/>
                <w:szCs w:val="36"/>
                <w:rtl/>
              </w:rPr>
              <w:t> تختص في نظر والفصل ضد الأحكام  الصادرة عن المحاكم والمجالس القضائية</w:t>
            </w:r>
          </w:p>
        </w:tc>
        <w:tc>
          <w:tcPr>
            <w:tcW w:w="1245" w:type="dxa"/>
            <w:vMerge w:val="restart"/>
            <w:tcBorders>
              <w:top w:val="nil"/>
              <w:left w:val="nil"/>
              <w:bottom w:val="single" w:sz="12" w:space="0" w:color="00B050"/>
              <w:right w:val="single" w:sz="12" w:space="0" w:color="00B050"/>
            </w:tcBorders>
            <w:tcMar>
              <w:top w:w="0" w:type="dxa"/>
              <w:left w:w="70" w:type="dxa"/>
              <w:bottom w:w="0" w:type="dxa"/>
              <w:right w:w="70" w:type="dxa"/>
            </w:tcMar>
            <w:hideMark/>
          </w:tcPr>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sz w:val="36"/>
                <w:szCs w:val="36"/>
                <w:rtl/>
                <w:lang w:bidi="ar-DZ"/>
              </w:rPr>
              <w:lastRenderedPageBreak/>
              <w:t> </w:t>
            </w:r>
          </w:p>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sz w:val="36"/>
                <w:szCs w:val="36"/>
                <w:rtl/>
                <w:lang w:bidi="ar-DZ"/>
              </w:rPr>
              <w:t>ـ تحقيق المساواة و العدل بين المواطنين</w:t>
            </w:r>
          </w:p>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sz w:val="36"/>
                <w:szCs w:val="36"/>
                <w:rtl/>
                <w:lang w:bidi="ar-DZ"/>
              </w:rPr>
              <w:t>ـ محاربة الظلم و الفساد</w:t>
            </w:r>
          </w:p>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sz w:val="36"/>
                <w:szCs w:val="36"/>
                <w:rtl/>
              </w:rPr>
              <w:lastRenderedPageBreak/>
              <w:t>ـ السهر على تطبيق القوانين واحترامها</w:t>
            </w:r>
          </w:p>
        </w:tc>
        <w:tc>
          <w:tcPr>
            <w:tcW w:w="0" w:type="auto"/>
            <w:vMerge/>
            <w:tcBorders>
              <w:top w:val="nil"/>
              <w:left w:val="nil"/>
              <w:bottom w:val="nil"/>
              <w:right w:val="nil"/>
            </w:tcBorders>
            <w:vAlign w:val="center"/>
            <w:hideMark/>
          </w:tcPr>
          <w:p w:rsidR="001A67CA" w:rsidRPr="001A67CA" w:rsidRDefault="001A67CA" w:rsidP="001A67CA">
            <w:pPr>
              <w:bidi/>
              <w:spacing w:after="0" w:line="240" w:lineRule="auto"/>
              <w:rPr>
                <w:rFonts w:ascii="Times New Roman" w:eastAsia="Times New Roman" w:hAnsi="Times New Roman" w:cs="Times New Roman"/>
                <w:b/>
                <w:bCs/>
                <w:sz w:val="36"/>
                <w:szCs w:val="36"/>
              </w:rPr>
            </w:pPr>
          </w:p>
        </w:tc>
      </w:tr>
      <w:tr w:rsidR="001A67CA" w:rsidRPr="001A67CA" w:rsidTr="001A67CA">
        <w:trPr>
          <w:trHeight w:val="2079"/>
        </w:trPr>
        <w:tc>
          <w:tcPr>
            <w:tcW w:w="885" w:type="dxa"/>
            <w:tcBorders>
              <w:top w:val="single" w:sz="12" w:space="0" w:color="00B050"/>
              <w:left w:val="single" w:sz="12" w:space="0" w:color="00B050"/>
              <w:bottom w:val="single" w:sz="12" w:space="0" w:color="00B050"/>
              <w:right w:val="single" w:sz="12" w:space="0" w:color="00B050"/>
            </w:tcBorders>
            <w:tcMar>
              <w:top w:w="0" w:type="dxa"/>
              <w:left w:w="70" w:type="dxa"/>
              <w:bottom w:w="0" w:type="dxa"/>
              <w:right w:w="70" w:type="dxa"/>
            </w:tcMar>
            <w:hideMark/>
          </w:tcPr>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color w:val="FF0066"/>
                <w:sz w:val="36"/>
                <w:szCs w:val="36"/>
                <w:rtl/>
                <w:lang w:bidi="ar-DZ"/>
              </w:rPr>
              <w:t> </w:t>
            </w:r>
          </w:p>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color w:val="FF0066"/>
                <w:sz w:val="36"/>
                <w:szCs w:val="36"/>
                <w:rtl/>
                <w:lang w:bidi="ar-DZ"/>
              </w:rPr>
              <w:t> </w:t>
            </w:r>
          </w:p>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color w:val="FF0066"/>
                <w:sz w:val="36"/>
                <w:szCs w:val="36"/>
                <w:rtl/>
                <w:lang w:bidi="ar-DZ"/>
              </w:rPr>
              <w:t>الإداري</w:t>
            </w:r>
          </w:p>
        </w:tc>
        <w:tc>
          <w:tcPr>
            <w:tcW w:w="1605" w:type="dxa"/>
            <w:tcBorders>
              <w:top w:val="nil"/>
              <w:left w:val="nil"/>
              <w:bottom w:val="single" w:sz="12" w:space="0" w:color="00B050"/>
              <w:right w:val="single" w:sz="12" w:space="0" w:color="00B050"/>
            </w:tcBorders>
            <w:tcMar>
              <w:top w:w="0" w:type="dxa"/>
              <w:left w:w="70" w:type="dxa"/>
              <w:bottom w:w="0" w:type="dxa"/>
              <w:right w:w="70" w:type="dxa"/>
            </w:tcMar>
            <w:hideMark/>
          </w:tcPr>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sz w:val="36"/>
                <w:szCs w:val="36"/>
                <w:rtl/>
                <w:lang w:bidi="ar-DZ"/>
              </w:rPr>
              <w:t>قضاء يختص بالفصل  في القضايا التي تكون</w:t>
            </w:r>
            <w:r w:rsidRPr="001A67CA">
              <w:rPr>
                <w:rFonts w:ascii="Times New Roman" w:eastAsia="Times New Roman" w:hAnsi="Times New Roman" w:cs="Times New Roman" w:hint="cs"/>
                <w:b/>
                <w:bCs/>
                <w:sz w:val="36"/>
                <w:szCs w:val="36"/>
                <w:lang w:bidi="ar-DZ"/>
              </w:rPr>
              <w:t> </w:t>
            </w:r>
            <w:r w:rsidRPr="001A67CA">
              <w:rPr>
                <w:rFonts w:ascii="Times New Roman" w:eastAsia="Times New Roman" w:hAnsi="Times New Roman" w:cs="Times New Roman" w:hint="cs"/>
                <w:b/>
                <w:bCs/>
                <w:sz w:val="36"/>
                <w:szCs w:val="36"/>
                <w:rtl/>
                <w:lang w:bidi="ar-DZ"/>
              </w:rPr>
              <w:t>الدولة...طرفا فيها</w:t>
            </w:r>
          </w:p>
        </w:tc>
        <w:tc>
          <w:tcPr>
            <w:tcW w:w="3390" w:type="dxa"/>
            <w:tcBorders>
              <w:top w:val="nil"/>
              <w:left w:val="nil"/>
              <w:bottom w:val="single" w:sz="12" w:space="0" w:color="00B050"/>
              <w:right w:val="single" w:sz="12" w:space="0" w:color="00B050"/>
            </w:tcBorders>
            <w:tcMar>
              <w:top w:w="0" w:type="dxa"/>
              <w:left w:w="70" w:type="dxa"/>
              <w:bottom w:w="0" w:type="dxa"/>
              <w:right w:w="70" w:type="dxa"/>
            </w:tcMar>
            <w:hideMark/>
          </w:tcPr>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color w:val="0000CC"/>
                <w:sz w:val="36"/>
                <w:szCs w:val="36"/>
                <w:rtl/>
                <w:lang w:bidi="ar-DZ"/>
              </w:rPr>
              <w:t>المحاكم الإدارية:</w:t>
            </w:r>
            <w:r w:rsidRPr="001A67CA">
              <w:rPr>
                <w:rFonts w:ascii="Times New Roman" w:eastAsia="Times New Roman" w:hAnsi="Times New Roman" w:cs="Times New Roman" w:hint="cs"/>
                <w:b/>
                <w:bCs/>
                <w:sz w:val="36"/>
                <w:szCs w:val="36"/>
                <w:rtl/>
                <w:lang w:bidi="ar-DZ"/>
              </w:rPr>
              <w:t> تفصل في المنازعات التي تكون الإدارة طرفا فيها</w:t>
            </w:r>
          </w:p>
          <w:p w:rsidR="001A67CA" w:rsidRPr="001A67CA" w:rsidRDefault="001A67CA" w:rsidP="001A67CA">
            <w:pPr>
              <w:bidi/>
              <w:spacing w:before="100" w:beforeAutospacing="1" w:after="100" w:afterAutospacing="1" w:line="480" w:lineRule="auto"/>
              <w:rPr>
                <w:rFonts w:ascii="Times New Roman" w:eastAsia="Times New Roman" w:hAnsi="Times New Roman" w:cs="Times New Roman"/>
                <w:b/>
                <w:bCs/>
                <w:sz w:val="36"/>
                <w:szCs w:val="36"/>
                <w:rtl/>
              </w:rPr>
            </w:pPr>
            <w:r w:rsidRPr="001A67CA">
              <w:rPr>
                <w:rFonts w:ascii="Times New Roman" w:eastAsia="Times New Roman" w:hAnsi="Times New Roman" w:cs="Times New Roman" w:hint="cs"/>
                <w:b/>
                <w:bCs/>
                <w:color w:val="0000CC"/>
                <w:sz w:val="36"/>
                <w:szCs w:val="36"/>
                <w:rtl/>
                <w:lang w:bidi="ar-DZ"/>
              </w:rPr>
              <w:t>مجلس الدولة:</w:t>
            </w:r>
            <w:r w:rsidRPr="001A67CA">
              <w:rPr>
                <w:rFonts w:ascii="Times New Roman" w:eastAsia="Times New Roman" w:hAnsi="Times New Roman" w:cs="Times New Roman" w:hint="cs"/>
                <w:b/>
                <w:bCs/>
                <w:sz w:val="36"/>
                <w:szCs w:val="36"/>
                <w:rtl/>
                <w:lang w:bidi="ar-DZ"/>
              </w:rPr>
              <w:t> هيئة مقومة لأعمال الجهة القضائية تتمثل مهامها في توحيد الإجتهاد القضائي</w:t>
            </w:r>
          </w:p>
        </w:tc>
        <w:tc>
          <w:tcPr>
            <w:tcW w:w="0" w:type="auto"/>
            <w:vMerge/>
            <w:tcBorders>
              <w:top w:val="nil"/>
              <w:left w:val="nil"/>
              <w:bottom w:val="single" w:sz="12" w:space="0" w:color="00B050"/>
              <w:right w:val="single" w:sz="12" w:space="0" w:color="00B050"/>
            </w:tcBorders>
            <w:vAlign w:val="center"/>
            <w:hideMark/>
          </w:tcPr>
          <w:p w:rsidR="001A67CA" w:rsidRPr="001A67CA" w:rsidRDefault="001A67CA" w:rsidP="001A67CA">
            <w:pPr>
              <w:bidi/>
              <w:spacing w:after="0" w:line="240" w:lineRule="auto"/>
              <w:rPr>
                <w:rFonts w:ascii="Times New Roman" w:eastAsia="Times New Roman" w:hAnsi="Times New Roman" w:cs="Times New Roman"/>
                <w:b/>
                <w:bCs/>
                <w:sz w:val="36"/>
                <w:szCs w:val="36"/>
              </w:rPr>
            </w:pPr>
          </w:p>
        </w:tc>
        <w:tc>
          <w:tcPr>
            <w:tcW w:w="0" w:type="auto"/>
            <w:vMerge/>
            <w:tcBorders>
              <w:top w:val="nil"/>
              <w:left w:val="nil"/>
              <w:bottom w:val="nil"/>
              <w:right w:val="nil"/>
            </w:tcBorders>
            <w:vAlign w:val="center"/>
            <w:hideMark/>
          </w:tcPr>
          <w:p w:rsidR="001A67CA" w:rsidRPr="001A67CA" w:rsidRDefault="001A67CA" w:rsidP="001A67CA">
            <w:pPr>
              <w:bidi/>
              <w:spacing w:after="0" w:line="240" w:lineRule="auto"/>
              <w:rPr>
                <w:rFonts w:ascii="Times New Roman" w:eastAsia="Times New Roman" w:hAnsi="Times New Roman" w:cs="Times New Roman"/>
                <w:b/>
                <w:bCs/>
                <w:sz w:val="36"/>
                <w:szCs w:val="36"/>
              </w:rPr>
            </w:pPr>
          </w:p>
        </w:tc>
      </w:tr>
    </w:tbl>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tl/>
        </w:rPr>
      </w:pP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before="100" w:beforeAutospacing="1" w:after="100" w:afterAutospacing="1" w:line="48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before="100" w:beforeAutospacing="1" w:after="100" w:afterAutospacing="1" w:line="48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bookmarkStart w:id="0" w:name="_GoBack"/>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lastRenderedPageBreak/>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FF0000"/>
          <w:sz w:val="36"/>
          <w:szCs w:val="36"/>
          <w:rtl/>
        </w:rPr>
        <w:t>إدماج جزئي</w:t>
      </w:r>
      <w:r w:rsidRPr="001A67CA">
        <w:rPr>
          <w:rFonts w:ascii="Times New Roman" w:eastAsia="Times New Roman" w:hAnsi="Times New Roman" w:cs="Times New Roman"/>
          <w:b/>
          <w:bCs/>
          <w:color w:val="FF0000"/>
          <w:sz w:val="36"/>
          <w:szCs w:val="36"/>
        </w:rPr>
        <w:t xml:space="preserve"> :</w:t>
      </w:r>
      <w:r w:rsidRPr="001A67CA">
        <w:rPr>
          <w:rFonts w:ascii="Times New Roman" w:eastAsia="Times New Roman" w:hAnsi="Times New Roman" w:cs="Times New Roman"/>
          <w:b/>
          <w:bCs/>
          <w:color w:val="000000"/>
          <w:sz w:val="36"/>
          <w:szCs w:val="36"/>
        </w:rPr>
        <w:t> </w:t>
      </w:r>
      <w:r w:rsidRPr="001A67CA">
        <w:rPr>
          <w:rFonts w:ascii="Times New Roman" w:eastAsia="Times New Roman" w:hAnsi="Times New Roman" w:cs="Times New Roman"/>
          <w:b/>
          <w:bCs/>
          <w:color w:val="000000"/>
          <w:sz w:val="36"/>
          <w:szCs w:val="36"/>
          <w:rtl/>
        </w:rPr>
        <w:t>النشاط ص 27</w:t>
      </w:r>
      <w:r w:rsidRPr="001A67CA">
        <w:rPr>
          <w:rFonts w:ascii="Times New Roman" w:eastAsia="Times New Roman" w:hAnsi="Times New Roman" w:cs="Times New Roman"/>
          <w:b/>
          <w:bCs/>
          <w:color w:val="000000"/>
          <w:sz w:val="36"/>
          <w:szCs w:val="36"/>
        </w:rPr>
        <w:br/>
      </w:r>
      <w:r w:rsidRPr="001A67CA">
        <w:rPr>
          <w:rFonts w:ascii="Times New Roman" w:eastAsia="Times New Roman" w:hAnsi="Times New Roman" w:cs="Times New Roman"/>
          <w:b/>
          <w:bCs/>
          <w:color w:val="000000"/>
          <w:sz w:val="36"/>
          <w:szCs w:val="36"/>
          <w:rtl/>
        </w:rPr>
        <w:t>يمكن لجهاز القضاء أن يكون أكثر مصداقية و تعزيزا للسلم و الإستقرار عن طريق</w:t>
      </w:r>
      <w:r w:rsidRPr="001A67CA">
        <w:rPr>
          <w:rFonts w:ascii="Times New Roman" w:eastAsia="Times New Roman" w:hAnsi="Times New Roman" w:cs="Times New Roman"/>
          <w:b/>
          <w:bCs/>
          <w:color w:val="000000"/>
          <w:sz w:val="36"/>
          <w:szCs w:val="36"/>
        </w:rPr>
        <w:t>:</w:t>
      </w:r>
      <w:r w:rsidRPr="001A67CA">
        <w:rPr>
          <w:rFonts w:ascii="Times New Roman" w:eastAsia="Times New Roman" w:hAnsi="Times New Roman" w:cs="Times New Roman"/>
          <w:b/>
          <w:bCs/>
          <w:color w:val="000000"/>
          <w:sz w:val="36"/>
          <w:szCs w:val="36"/>
        </w:rPr>
        <w:br/>
      </w:r>
      <w:r w:rsidRPr="001A67CA">
        <w:rPr>
          <w:rFonts w:ascii="Times New Roman" w:eastAsia="Times New Roman" w:hAnsi="Times New Roman" w:cs="Times New Roman"/>
          <w:b/>
          <w:bCs/>
          <w:color w:val="000000"/>
          <w:sz w:val="36"/>
          <w:szCs w:val="36"/>
          <w:rtl/>
        </w:rPr>
        <w:t>ـ مراقبة تطبيق القانون</w:t>
      </w:r>
      <w:r w:rsidRPr="001A67CA">
        <w:rPr>
          <w:rFonts w:ascii="Times New Roman" w:eastAsia="Times New Roman" w:hAnsi="Times New Roman" w:cs="Times New Roman"/>
          <w:b/>
          <w:bCs/>
          <w:color w:val="000000"/>
          <w:sz w:val="36"/>
          <w:szCs w:val="36"/>
        </w:rPr>
        <w:br/>
      </w:r>
      <w:r w:rsidRPr="001A67CA">
        <w:rPr>
          <w:rFonts w:ascii="Times New Roman" w:eastAsia="Times New Roman" w:hAnsi="Times New Roman" w:cs="Times New Roman"/>
          <w:b/>
          <w:bCs/>
          <w:color w:val="000000"/>
          <w:sz w:val="36"/>
          <w:szCs w:val="36"/>
          <w:rtl/>
        </w:rPr>
        <w:t>ـ الرقابة  على جميع المؤسسات العمومية</w:t>
      </w:r>
      <w:r w:rsidRPr="001A67CA">
        <w:rPr>
          <w:rFonts w:ascii="Times New Roman" w:eastAsia="Times New Roman" w:hAnsi="Times New Roman" w:cs="Times New Roman"/>
          <w:b/>
          <w:bCs/>
          <w:color w:val="000000"/>
          <w:sz w:val="36"/>
          <w:szCs w:val="36"/>
        </w:rPr>
        <w:br/>
      </w:r>
      <w:r w:rsidRPr="001A67CA">
        <w:rPr>
          <w:rFonts w:ascii="Times New Roman" w:eastAsia="Times New Roman" w:hAnsi="Times New Roman" w:cs="Times New Roman"/>
          <w:b/>
          <w:bCs/>
          <w:color w:val="000000"/>
          <w:sz w:val="36"/>
          <w:szCs w:val="36"/>
          <w:rtl/>
        </w:rPr>
        <w:t>ـ تكريس مصداقية العدالة</w:t>
      </w:r>
      <w:r w:rsidRPr="001A67CA">
        <w:rPr>
          <w:rFonts w:ascii="Times New Roman" w:eastAsia="Times New Roman" w:hAnsi="Times New Roman" w:cs="Times New Roman"/>
          <w:b/>
          <w:bCs/>
          <w:color w:val="000000"/>
          <w:sz w:val="36"/>
          <w:szCs w:val="36"/>
        </w:rPr>
        <w:br/>
      </w:r>
      <w:r w:rsidRPr="001A67CA">
        <w:rPr>
          <w:rFonts w:ascii="Times New Roman" w:eastAsia="Times New Roman" w:hAnsi="Times New Roman" w:cs="Times New Roman"/>
          <w:b/>
          <w:bCs/>
          <w:color w:val="000000"/>
          <w:sz w:val="36"/>
          <w:szCs w:val="36"/>
          <w:rtl/>
        </w:rPr>
        <w:t>ـ المساواة أمام القانون</w:t>
      </w:r>
      <w:r w:rsidRPr="001A67CA">
        <w:rPr>
          <w:rFonts w:ascii="Times New Roman" w:eastAsia="Times New Roman" w:hAnsi="Times New Roman" w:cs="Times New Roman"/>
          <w:b/>
          <w:bCs/>
          <w:color w:val="000000"/>
          <w:sz w:val="36"/>
          <w:szCs w:val="36"/>
        </w:rPr>
        <w:br/>
      </w:r>
      <w:r w:rsidRPr="001A67CA">
        <w:rPr>
          <w:rFonts w:ascii="Times New Roman" w:eastAsia="Times New Roman" w:hAnsi="Times New Roman" w:cs="Times New Roman"/>
          <w:b/>
          <w:bCs/>
          <w:color w:val="000000"/>
          <w:sz w:val="36"/>
          <w:szCs w:val="36"/>
        </w:rPr>
        <w:br/>
      </w:r>
      <w:r w:rsidRPr="001A67CA">
        <w:rPr>
          <w:rFonts w:ascii="Times New Roman" w:eastAsia="Times New Roman" w:hAnsi="Times New Roman" w:cs="Times New Roman"/>
          <w:b/>
          <w:bCs/>
          <w:color w:val="FF0000"/>
          <w:sz w:val="36"/>
          <w:szCs w:val="36"/>
          <w:rtl/>
        </w:rPr>
        <w:t>النشاط اللاصفي</w:t>
      </w:r>
      <w:r w:rsidRPr="001A67CA">
        <w:rPr>
          <w:rFonts w:ascii="Times New Roman" w:eastAsia="Times New Roman" w:hAnsi="Times New Roman" w:cs="Times New Roman"/>
          <w:b/>
          <w:bCs/>
          <w:color w:val="000000"/>
          <w:sz w:val="36"/>
          <w:szCs w:val="36"/>
        </w:rPr>
        <w:br/>
        <w:t xml:space="preserve">1 </w:t>
      </w:r>
      <w:r w:rsidRPr="001A67CA">
        <w:rPr>
          <w:rFonts w:ascii="Times New Roman" w:eastAsia="Times New Roman" w:hAnsi="Times New Roman" w:cs="Times New Roman"/>
          <w:b/>
          <w:bCs/>
          <w:color w:val="000000"/>
          <w:sz w:val="36"/>
          <w:szCs w:val="36"/>
          <w:rtl/>
        </w:rPr>
        <w:t>ـ أنجز هرما لمؤسسات القضاء الجزائري</w:t>
      </w:r>
      <w:r w:rsidRPr="001A67CA">
        <w:rPr>
          <w:rFonts w:ascii="Times New Roman" w:eastAsia="Times New Roman" w:hAnsi="Times New Roman" w:cs="Times New Roman"/>
          <w:b/>
          <w:bCs/>
          <w:color w:val="000000"/>
          <w:sz w:val="36"/>
          <w:szCs w:val="36"/>
        </w:rPr>
        <w:br/>
        <w:t xml:space="preserve">2 </w:t>
      </w:r>
      <w:r w:rsidRPr="001A67CA">
        <w:rPr>
          <w:rFonts w:ascii="Times New Roman" w:eastAsia="Times New Roman" w:hAnsi="Times New Roman" w:cs="Times New Roman"/>
          <w:b/>
          <w:bCs/>
          <w:color w:val="000000"/>
          <w:sz w:val="36"/>
          <w:szCs w:val="36"/>
          <w:rtl/>
        </w:rPr>
        <w:t>ـ السياق: عندما لأحظ احد أصدقائك انقطاع العلاقة بين زميلين لكما، بسبب سوء تفاهم، قرر أن يصلح بينهم، فطلب منك أن تساعده على وضع خطة عملية لتحقيق ذلك</w:t>
      </w:r>
      <w:r w:rsidRPr="001A67CA">
        <w:rPr>
          <w:rFonts w:ascii="Times New Roman" w:eastAsia="Times New Roman" w:hAnsi="Times New Roman" w:cs="Times New Roman"/>
          <w:b/>
          <w:bCs/>
          <w:color w:val="000000"/>
          <w:sz w:val="36"/>
          <w:szCs w:val="36"/>
        </w:rPr>
        <w:t>.</w:t>
      </w:r>
      <w:r w:rsidRPr="001A67CA">
        <w:rPr>
          <w:rFonts w:ascii="Times New Roman" w:eastAsia="Times New Roman" w:hAnsi="Times New Roman" w:cs="Times New Roman"/>
          <w:b/>
          <w:bCs/>
          <w:color w:val="000000"/>
          <w:sz w:val="36"/>
          <w:szCs w:val="36"/>
        </w:rPr>
        <w:br/>
      </w:r>
      <w:r w:rsidRPr="001A67CA">
        <w:rPr>
          <w:rFonts w:ascii="Times New Roman" w:eastAsia="Times New Roman" w:hAnsi="Times New Roman" w:cs="Times New Roman"/>
          <w:b/>
          <w:bCs/>
          <w:color w:val="000000"/>
          <w:sz w:val="36"/>
          <w:szCs w:val="36"/>
          <w:rtl/>
        </w:rPr>
        <w:t>السند : 01  الصلح سيد الأحكام لأنه لا يفصل بين النزاعات فحسب، بل يقضي على كل أسباب الكراهية</w:t>
      </w:r>
      <w:r w:rsidRPr="001A67CA">
        <w:rPr>
          <w:rFonts w:ascii="Times New Roman" w:eastAsia="Times New Roman" w:hAnsi="Times New Roman" w:cs="Times New Roman"/>
          <w:b/>
          <w:bCs/>
          <w:color w:val="000000"/>
          <w:sz w:val="36"/>
          <w:szCs w:val="36"/>
        </w:rPr>
        <w:t>.</w:t>
      </w:r>
      <w:r w:rsidRPr="001A67CA">
        <w:rPr>
          <w:rFonts w:ascii="Times New Roman" w:eastAsia="Times New Roman" w:hAnsi="Times New Roman" w:cs="Times New Roman"/>
          <w:b/>
          <w:bCs/>
          <w:color w:val="000000"/>
          <w:sz w:val="36"/>
          <w:szCs w:val="36"/>
        </w:rPr>
        <w:br/>
      </w:r>
      <w:r w:rsidRPr="001A67CA">
        <w:rPr>
          <w:rFonts w:ascii="Times New Roman" w:eastAsia="Times New Roman" w:hAnsi="Times New Roman" w:cs="Times New Roman"/>
          <w:b/>
          <w:bCs/>
          <w:color w:val="000000"/>
          <w:sz w:val="36"/>
          <w:szCs w:val="36"/>
          <w:rtl/>
        </w:rPr>
        <w:t>السند   : 02 إن النزاع الذي أنهاه الطرفان عن طريق الصلح، أصبح كأنه لم يكن</w:t>
      </w:r>
      <w:r w:rsidRPr="001A67CA">
        <w:rPr>
          <w:rFonts w:ascii="Times New Roman" w:eastAsia="Times New Roman" w:hAnsi="Times New Roman" w:cs="Times New Roman"/>
          <w:b/>
          <w:bCs/>
          <w:color w:val="000000"/>
          <w:sz w:val="36"/>
          <w:szCs w:val="36"/>
        </w:rPr>
        <w:br/>
      </w:r>
      <w:r w:rsidRPr="001A67CA">
        <w:rPr>
          <w:rFonts w:ascii="Times New Roman" w:eastAsia="Times New Roman" w:hAnsi="Times New Roman" w:cs="Times New Roman"/>
          <w:b/>
          <w:bCs/>
          <w:color w:val="000000"/>
          <w:sz w:val="36"/>
          <w:szCs w:val="36"/>
          <w:rtl/>
        </w:rPr>
        <w:t>التعليمة</w:t>
      </w:r>
      <w:r w:rsidRPr="001A67CA">
        <w:rPr>
          <w:rFonts w:ascii="Times New Roman" w:eastAsia="Times New Roman" w:hAnsi="Times New Roman" w:cs="Times New Roman"/>
          <w:b/>
          <w:bCs/>
          <w:color w:val="000000"/>
          <w:sz w:val="36"/>
          <w:szCs w:val="36"/>
        </w:rPr>
        <w:t>: </w:t>
      </w:r>
      <w:r w:rsidRPr="001A67CA">
        <w:rPr>
          <w:rFonts w:ascii="Times New Roman" w:eastAsia="Times New Roman" w:hAnsi="Times New Roman" w:cs="Times New Roman"/>
          <w:b/>
          <w:bCs/>
          <w:color w:val="000000"/>
          <w:sz w:val="36"/>
          <w:szCs w:val="36"/>
          <w:rtl/>
        </w:rPr>
        <w:t>اعتمادا على السندات و مكتسباتك القبلية حرر فقرة لا تتعدى 08 اسطر تساعد فيها صديقك</w:t>
      </w:r>
      <w:r w:rsidRPr="001A67CA">
        <w:rPr>
          <w:rFonts w:ascii="Times New Roman" w:eastAsia="Times New Roman" w:hAnsi="Times New Roman" w:cs="Times New Roman"/>
          <w:b/>
          <w:bCs/>
          <w:color w:val="000000"/>
          <w:sz w:val="36"/>
          <w:szCs w:val="36"/>
        </w:rPr>
        <w:b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r w:rsidRPr="001A67CA">
        <w:rPr>
          <w:rFonts w:ascii="Times New Roman" w:eastAsia="Times New Roman" w:hAnsi="Times New Roman" w:cs="Times New Roman"/>
          <w:b/>
          <w:bCs/>
          <w:color w:val="000000"/>
          <w:sz w:val="36"/>
          <w:szCs w:val="36"/>
          <w:rtl/>
        </w:rPr>
        <w:t>يعيش كل فرد وسط مجتمع، ومن الطبيعي أن تحصل أحيانا نزاعات يستوجب حلها</w:t>
      </w:r>
      <w:r w:rsidRPr="001A67CA">
        <w:rPr>
          <w:rFonts w:ascii="Times New Roman" w:eastAsia="Times New Roman" w:hAnsi="Times New Roman" w:cs="Times New Roman"/>
          <w:b/>
          <w:bCs/>
          <w:color w:val="000000"/>
          <w:sz w:val="36"/>
          <w:szCs w:val="36"/>
        </w:rPr>
        <w:t>.</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Pr>
        <w:t> </w:t>
      </w:r>
      <w:r w:rsidRPr="001A67CA">
        <w:rPr>
          <w:rFonts w:ascii="Times New Roman" w:eastAsia="Times New Roman" w:hAnsi="Times New Roman" w:cs="Times New Roman"/>
          <w:b/>
          <w:bCs/>
          <w:color w:val="000000"/>
          <w:sz w:val="36"/>
          <w:szCs w:val="36"/>
          <w:rtl/>
        </w:rPr>
        <w:t xml:space="preserve">توجد العديد من الطرق للفصل بين النزاعات كالصلح والوساطة ،لكن الخلاف البسيط بين الزملاء لا يستدعي اللجوء إلى الصلح ألذي يعد طريقة ودية تحل الخلافات في المحكمة وعن طريق عقد بل الأمثل أن </w:t>
      </w:r>
      <w:bookmarkEnd w:id="0"/>
      <w:r w:rsidRPr="001A67CA">
        <w:rPr>
          <w:rFonts w:ascii="Times New Roman" w:eastAsia="Times New Roman" w:hAnsi="Times New Roman" w:cs="Times New Roman"/>
          <w:b/>
          <w:bCs/>
          <w:color w:val="000000"/>
          <w:sz w:val="36"/>
          <w:szCs w:val="36"/>
          <w:rtl/>
        </w:rPr>
        <w:t>نصلح بين زميلينا المتخاصمين باستخدام الوساطة أي بأن تجمعهما في محضر لكي يتحدث كل منهما عن سبب غضبه من الآخر وتجعل شخصا كوسيط يستمع لهما ويحاول تقريب وجهات نظرهما لفك الخلاف وإيجاد حل</w:t>
      </w:r>
      <w:r w:rsidRPr="001A67CA">
        <w:rPr>
          <w:rFonts w:ascii="Times New Roman" w:eastAsia="Times New Roman" w:hAnsi="Times New Roman" w:cs="Times New Roman"/>
          <w:b/>
          <w:bCs/>
          <w:color w:val="000000"/>
          <w:sz w:val="36"/>
          <w:szCs w:val="36"/>
        </w:rPr>
        <w:t>. </w:t>
      </w:r>
    </w:p>
    <w:p w:rsidR="001A67CA" w:rsidRPr="001A67CA" w:rsidRDefault="001A67CA" w:rsidP="001A67CA">
      <w:pPr>
        <w:shd w:val="clear" w:color="auto" w:fill="FFFFFF"/>
        <w:bidi/>
        <w:spacing w:after="0" w:line="240" w:lineRule="auto"/>
        <w:rPr>
          <w:rFonts w:ascii="Times New Roman" w:eastAsia="Times New Roman" w:hAnsi="Times New Roman" w:cs="Times New Roman"/>
          <w:b/>
          <w:bCs/>
          <w:color w:val="000000"/>
          <w:sz w:val="36"/>
          <w:szCs w:val="36"/>
        </w:rPr>
      </w:pPr>
      <w:r w:rsidRPr="001A67CA">
        <w:rPr>
          <w:rFonts w:ascii="Times New Roman" w:eastAsia="Times New Roman" w:hAnsi="Times New Roman" w:cs="Times New Roman"/>
          <w:b/>
          <w:bCs/>
          <w:color w:val="000000"/>
          <w:sz w:val="36"/>
          <w:szCs w:val="36"/>
          <w:rtl/>
        </w:rPr>
        <w:t>إن الصلح بين الناس حقا لفعل عَظيم يقضي على الحقد ويرفع المجتمع</w:t>
      </w:r>
    </w:p>
    <w:p w:rsidR="00FC6691" w:rsidRPr="001A67CA" w:rsidRDefault="00FC6691" w:rsidP="001A67CA">
      <w:pPr>
        <w:bidi/>
        <w:rPr>
          <w:b/>
          <w:bCs/>
          <w:sz w:val="36"/>
          <w:szCs w:val="36"/>
        </w:rPr>
      </w:pPr>
    </w:p>
    <w:sectPr w:rsidR="00FC6691" w:rsidRPr="001A67CA"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1A67CA"/>
    <w:rsid w:val="00410E42"/>
    <w:rsid w:val="004D0C36"/>
    <w:rsid w:val="007879CF"/>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8DE2"/>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7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803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2024-09-01T12:46:00Z</dcterms:modified>
</cp:coreProperties>
</file>