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/>
        <w:spacing w:after="0" w:lineRule="auto" w:line="240"/>
        <w:jc w:val="center"/>
        <w:rPr>
          <w:rFonts w:ascii="Sakkal Majalla" w:cs="Sakkal Majalla" w:eastAsia="Calibri" w:hAnsi="Sakkal Majalla"/>
          <w:b/>
          <w:bCs/>
          <w:sz w:val="40"/>
          <w:szCs w:val="40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>
      <w:pPr>
        <w:pStyle w:val="style0"/>
        <w:bidi/>
        <w:spacing w:after="0" w:lineRule="auto" w:line="240"/>
        <w:jc w:val="center"/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>
      <w:pPr>
        <w:pStyle w:val="style0"/>
        <w:bidi/>
        <w:spacing w:after="0" w:lineRule="auto" w:line="240"/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مديرية التربية لولاية</w:t>
      </w:r>
      <w:r>
        <w:rPr>
          <w:rFonts w:ascii="Sakkal Majalla" w:cs="Sakkal Majalla" w:eastAsia="Calibri" w:hAnsi="Sakkal Majalla" w:hint="cs"/>
          <w:b/>
          <w:bCs/>
          <w:sz w:val="20"/>
          <w:szCs w:val="20"/>
          <w:rtl/>
          <w:lang w:val="en-US" w:bidi="ar-DZ"/>
        </w:rPr>
        <w:t xml:space="preserve">:    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lang w:val="en-US" w:bidi="ar-DZ"/>
        </w:rPr>
        <w:t xml:space="preserve">                    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 xml:space="preserve">           </w:t>
      </w:r>
      <w:r>
        <w:rPr>
          <w:rFonts w:ascii="Sakkal Majalla" w:cs="Sakkal Majalla" w:eastAsia="Calibri" w:hAnsi="Sakkal Majalla"/>
          <w:b/>
          <w:bCs/>
          <w:sz w:val="28"/>
          <w:szCs w:val="28"/>
          <w:lang w:val="en-US" w:bidi="ar-DZ"/>
        </w:rPr>
        <w:t xml:space="preserve">   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 xml:space="preserve">متوسطة:  </w:t>
      </w:r>
      <w:r>
        <w:rPr>
          <w:rFonts w:ascii="Sakkal Majalla" w:cs="Sakkal Majalla" w:eastAsia="Calibri" w:hAnsi="Sakkal Majalla" w:hint="cs"/>
          <w:b/>
          <w:bCs/>
          <w:sz w:val="16"/>
          <w:szCs w:val="16"/>
          <w:rtl/>
          <w:lang w:val="en-US" w:bidi="ar-DZ"/>
        </w:rPr>
        <w:t xml:space="preserve">  </w:t>
      </w:r>
    </w:p>
    <w:p>
      <w:pPr>
        <w:pStyle w:val="style0"/>
        <w:bidi/>
        <w:spacing w:after="0" w:lineRule="auto" w:line="240"/>
        <w:contextualSpacing/>
        <w:rPr>
          <w:rFonts w:ascii="Sakkal Majalla" w:cs="Sakkal Majalla" w:eastAsia="Calibri" w:hAnsi="Sakkal Majalla"/>
          <w:b/>
          <w:bCs/>
          <w:sz w:val="28"/>
          <w:szCs w:val="28"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المـــــــــــــادة:</w:t>
      </w:r>
      <w:r>
        <w:rPr>
          <w:rFonts w:ascii="Sakkal Majalla" w:cs="Sakkal Majalla" w:eastAsia="Calibri" w:hAnsi="Sakkal Majalla" w:hint="cs"/>
          <w:b/>
          <w:bCs/>
          <w:sz w:val="16"/>
          <w:szCs w:val="16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 w:hint="cs"/>
          <w:b/>
          <w:bCs/>
          <w:sz w:val="16"/>
          <w:szCs w:val="16"/>
          <w:rtl/>
          <w:lang w:val="en-US" w:bidi="ar-DZ"/>
        </w:rPr>
        <w:t xml:space="preserve">  </w:t>
      </w:r>
      <w:r>
        <w:rPr>
          <w:rFonts w:ascii="Sakkal Majalla" w:cs="Sakkal Majalla" w:eastAsia="Calibri" w:hAnsi="Sakkal Majalla" w:hint="cs"/>
          <w:b/>
          <w:bCs/>
          <w:sz w:val="24"/>
          <w:szCs w:val="24"/>
          <w:rtl/>
          <w:lang w:val="en-US" w:bidi="ar-DZ"/>
        </w:rPr>
        <w:t xml:space="preserve">رياضيات 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 xml:space="preserve">الأستاذ: </w:t>
      </w:r>
      <w:r>
        <w:rPr>
          <w:rFonts w:ascii="Sakkal Majalla" w:cs="Sakkal Majalla" w:eastAsia="Calibri" w:hAnsi="Sakkal Majalla" w:hint="cs"/>
          <w:b/>
          <w:bCs/>
          <w:sz w:val="24"/>
          <w:szCs w:val="24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 w:hint="cs"/>
          <w:b/>
          <w:bCs/>
          <w:sz w:val="16"/>
          <w:szCs w:val="16"/>
          <w:rtl/>
          <w:lang w:val="en-US" w:bidi="ar-DZ"/>
        </w:rPr>
        <w:t xml:space="preserve"> </w:t>
      </w:r>
    </w:p>
    <w:p>
      <w:pPr>
        <w:pStyle w:val="style0"/>
        <w:bidi/>
        <w:spacing w:after="0" w:lineRule="auto" w:line="360"/>
        <w:rPr>
          <w:rFonts w:ascii="Sakkal Majalla" w:cs="Sakkal Majalla" w:eastAsia="Calibri" w:hAnsi="Sakkal Majalla"/>
          <w:b/>
          <w:bCs/>
          <w:sz w:val="28"/>
          <w:szCs w:val="28"/>
          <w:rtl/>
          <w:lang w:bidi="ar-DZ"/>
        </w:rPr>
      </w:pP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القسم:</w:t>
      </w:r>
      <w:r>
        <w:rPr>
          <w:rFonts w:ascii="Sakkal Majalla" w:cs="Sakkal Majalla" w:eastAsia="Calibri" w:hAnsi="Sakkal Majalla" w:hint="cs"/>
          <w:b/>
          <w:bCs/>
          <w:sz w:val="24"/>
          <w:szCs w:val="24"/>
          <w:rtl/>
          <w:lang w:val="en-US" w:bidi="ar-DZ"/>
        </w:rPr>
        <w:t xml:space="preserve"> 1م3 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السنة الدراسية:</w:t>
      </w:r>
      <w:r>
        <w:rPr>
          <w:rFonts w:ascii="Sakkal Majalla" w:cs="Sakkal Majalla" w:eastAsia="Calibri" w:hAnsi="Sakkal Majalla"/>
          <w:b/>
          <w:bCs/>
          <w:sz w:val="28"/>
          <w:szCs w:val="28"/>
          <w:lang w:bidi="ar-DZ"/>
        </w:rPr>
        <w:t>2025/2024</w:t>
      </w:r>
    </w:p>
    <w:p>
      <w:pPr>
        <w:pStyle w:val="style0"/>
        <w:bidi/>
        <w:spacing w:after="0" w:lineRule="auto" w:line="360"/>
        <w:jc w:val="center"/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</w:pPr>
      <w:r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  <w:t xml:space="preserve">بطاقة 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وصفية</w:t>
      </w:r>
      <w:r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  <w:t xml:space="preserve"> لصعوبات التعلم 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للفوج</w:t>
      </w:r>
    </w:p>
    <w:p>
      <w:pPr>
        <w:pStyle w:val="style179"/>
        <w:bidi/>
        <w:ind w:left="648"/>
        <w:rPr>
          <w:rFonts w:ascii="Sakkal Majalla" w:cs="Sakkal Majalla" w:eastAsia="Calibri" w:hAnsi="Sakkal Majalla"/>
          <w:b/>
          <w:bCs/>
          <w:sz w:val="28"/>
          <w:szCs w:val="28"/>
          <w:lang w:val="en-US" w:bidi="ar-DZ"/>
        </w:rPr>
      </w:pPr>
      <w:r>
        <w:rPr>
          <w:rFonts w:ascii="Sakkal Majalla" w:cs="Sakkal Majalla" w:eastAsia="Calibri" w:hAnsi="Sakkal Majalla" w:hint="cs"/>
          <w:sz w:val="32"/>
          <w:szCs w:val="32"/>
          <w:rtl/>
          <w:lang w:val="en-US" w:bidi="ar-DZ"/>
        </w:rPr>
        <w:t>أ-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 xml:space="preserve">تعيين المعايير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ذات الأداء المنخفض:</w:t>
      </w:r>
    </w:p>
    <w:tbl>
      <w:tblPr>
        <w:tblStyle w:val="style154"/>
        <w:bidiVisual/>
        <w:tblW w:w="8809" w:type="dxa"/>
        <w:jc w:val="center"/>
        <w:tblLayout w:type="fixed"/>
        <w:tblLook w:val="04A0" w:firstRow="1" w:lastRow="0" w:firstColumn="1" w:lastColumn="0" w:noHBand="0" w:noVBand="1"/>
      </w:tblPr>
      <w:tblGrid>
        <w:gridCol w:w="3030"/>
        <w:gridCol w:w="363"/>
        <w:gridCol w:w="364"/>
        <w:gridCol w:w="363"/>
        <w:gridCol w:w="364"/>
        <w:gridCol w:w="486"/>
        <w:gridCol w:w="486"/>
        <w:gridCol w:w="487"/>
        <w:gridCol w:w="527"/>
        <w:gridCol w:w="450"/>
        <w:gridCol w:w="481"/>
        <w:gridCol w:w="352"/>
        <w:gridCol w:w="352"/>
        <w:gridCol w:w="352"/>
        <w:gridCol w:w="352"/>
      </w:tblGrid>
      <w:tr>
        <w:trPr>
          <w:trHeight w:val="341" w:hRule="atLeast"/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الكفا</w:t>
            </w:r>
            <w:bookmarkStart w:id="0" w:name="_GoBack"/>
            <w:bookmarkEnd w:id="0"/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ءات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>
        <w:tblPrEx/>
        <w:trPr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 xml:space="preserve">أرقام المعايير </w:t>
            </w: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ذات الأداء المنخفض: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>
      <w:pPr>
        <w:pStyle w:val="style0"/>
        <w:bidi/>
        <w:spacing w:before="240" w:lineRule="auto" w:line="240"/>
        <w:ind w:left="360"/>
        <w:rPr>
          <w:rFonts w:ascii="Sakkal Majalla" w:cs="Sakkal Majalla" w:eastAsia="Calibri" w:hAnsi="Sakkal Majalla"/>
          <w:color w:val="ff0000"/>
          <w:sz w:val="28"/>
          <w:szCs w:val="28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ب</w:t>
      </w:r>
      <w:r>
        <w:rPr>
          <w:rFonts w:ascii="Sakkal Majalla" w:cs="Sakkal Majalla" w:eastAsia="Calibri" w:hAnsi="Sakkal Majalla" w:hint="cs"/>
          <w:b/>
          <w:bCs/>
          <w:color w:val="ff0000"/>
          <w:sz w:val="28"/>
          <w:szCs w:val="28"/>
          <w:rtl/>
          <w:lang w:val="en-US" w:bidi="ar-DZ"/>
        </w:rPr>
        <w:t>-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ال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 xml:space="preserve">تعيين التوصيفي للمعايير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ذات الأداء المنخفض:</w:t>
      </w:r>
    </w:p>
    <w:tbl>
      <w:tblPr>
        <w:tblStyle w:val="style154"/>
        <w:bidiVisual/>
        <w:tblW w:w="10684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081"/>
        <w:gridCol w:w="953"/>
        <w:gridCol w:w="1506"/>
        <w:gridCol w:w="1992"/>
        <w:gridCol w:w="1134"/>
        <w:gridCol w:w="992"/>
        <w:gridCol w:w="2321"/>
      </w:tblGrid>
      <w:tr>
        <w:trPr>
          <w:trHeight w:val="1016" w:hRule="atLeast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رقم المعيار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 xml:space="preserve">توصيف 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المتعلقة بالمعيار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"/>
                <w:szCs w:val="2"/>
                <w:rtl/>
                <w:lang w:bidi="ar-DZ"/>
              </w:rPr>
            </w:pP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نمط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فترة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أسماء التلاميذ</w:t>
            </w:r>
          </w:p>
        </w:tc>
      </w:tr>
      <w:tr>
        <w:tblPrEx/>
        <w:trPr>
          <w:trHeight w:val="1016" w:hRule="atLeast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>
            <w:pPr>
              <w:pStyle w:val="style0"/>
              <w:bidi/>
              <w:spacing w:after="0"/>
              <w:ind w:left="113" w:right="113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رياضيات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التحكم في نظام العد والحساب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مقارنة ترتيب حصر أعداد عشرية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color w:val="ff0000"/>
                <w:rtl/>
                <w:lang w:bidi="ar-DZ"/>
              </w:rPr>
              <w:t xml:space="preserve">-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قراءة الأعداد العشرية وكتابتها ومقارنتها وترتيبها</w:t>
            </w:r>
          </w:p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/>
                <w:sz w:val="24"/>
                <w:szCs w:val="24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 التمييز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الجزءالعشري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والجزء الصحيح</w:t>
            </w:r>
          </w:p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sz w:val="24"/>
                <w:szCs w:val="24"/>
                <w:lang w:bidi="ar-DZ"/>
              </w:rPr>
              <w:t xml:space="preserve">-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ادراج اعداد عشرية بين عددين عشريين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 تجنيد العمليات المناسبة على الأعداد العشرية لحل مشكلات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"/>
                <w:szCs w:val="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 ممتدة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بداية السنة الدراسية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>
            <w:pPr>
              <w:pStyle w:val="style0"/>
              <w:bidi/>
              <w:spacing w:after="0"/>
              <w:ind w:left="113" w:right="113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استعمال الكسور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كسور ومجاميع أعداد طبيعية لترميز نتيجة قياس أطوال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كسور لترميز مساحات في وضعيات بسيطة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الكتابات المختلفة في الكسور لحل مشكل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كفاءة ممتدة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بداية السنة الدراسية 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ال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انجاز العمليات الأربع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-انجاز عمليات الجمع الطرح الضرب والقسمة في الاعداد الطبيعية و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العشرية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 الحساب بأنواعه الذهني و الأداتي و المتمعن فيه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 ممتدة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بداية السنة الدراسية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بر</w:t>
            </w:r>
          </w:p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ب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التبليغ باللغة الرياضتية 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-تنظيم الورقة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معالجة آنية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بر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التحكم في المصطلحات وفي استعمال الادوات الهندسية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التمييز بين أشكال مألوفة وفق خواصها الهندسية أو باستعمال أدوات هندسية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 التعرف على الاشكال الهندسية (المربع المثلث المستطيل الدائرة المعين) وخواصها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-توظيف خواص هذه الاشكال للتعرف عليها او وصفها او نقلها او للتمييز بينها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مرحلية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بداية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المقطع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التعلمي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ب علاء الدين</w:t>
            </w:r>
          </w:p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ب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رسم شكل هندسي انطلاقا من برنامج انشاء أو نموذج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استعمال الادوات الهندسية لانشاء شكل هندسي بالاعتماد على خواصه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-رسم شكل مماثل لشكل معطى باستعمال المسطرة و الكوس و المدور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-ربط برنامج انشاء بشكل أو تنفيذ برنامج شكل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 ممتدة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بداية السنة الدراسية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الع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</w:p>
        </w:tc>
      </w:tr>
      <w:tr>
        <w:tblPrEx/>
        <w:trPr>
          <w:trHeight w:val="298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معالجة آنية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</w:t>
            </w:r>
          </w:p>
        </w:tc>
      </w:tr>
      <w:tr>
        <w:tblPrEx/>
        <w:trPr>
          <w:trHeight w:val="133" w:hRule="atLeast"/>
          <w:jc w:val="center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40"/>
                <w:szCs w:val="40"/>
                <w:rtl/>
                <w:lang w:bidi="ar-DZ"/>
              </w:rPr>
              <w:t>3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التحكم في المقادير و القياس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حساب محيطات مساحات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-التمييز بين المحيط و المساحة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-اختيار الاداة الملائمة و الوحدات المناسبة لقياس طول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-مقارنة مساحات دون استعمال الوحدات ثم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استعمال الوحدات لحساب المساحات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كفاءة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مرحلية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بداية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المقطع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التعلمي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الع</w:t>
            </w:r>
          </w:p>
          <w:p>
            <w:pPr>
              <w:pStyle w:val="style0"/>
              <w:bidi/>
              <w:spacing w:after="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</w:p>
        </w:tc>
      </w:tr>
      <w:tr>
        <w:tblPrEx/>
        <w:trPr>
          <w:trHeight w:val="131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استعمال العلاقات بين مختلف وحدات القياس وحساب مدد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-التمييز بين وحدات قياس الاطوال و السعات والكتل والمدد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-اجراء تحويلات على الوحدات القياس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جدول الاطوال والسعات والكتل والمدد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كفاءة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مرحلية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بداية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المقطع التعلمي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ال</w:t>
            </w:r>
          </w:p>
          <w:p>
            <w:pPr>
              <w:pStyle w:val="style0"/>
              <w:bidi/>
              <w:spacing w:after="0" w:lineRule="auto" w:line="24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ء</w:t>
            </w:r>
          </w:p>
        </w:tc>
      </w:tr>
      <w:tr>
        <w:tblPrEx/>
        <w:trPr>
          <w:trHeight w:val="131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معالجة آنية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الع</w:t>
            </w:r>
          </w:p>
          <w:p>
            <w:pPr>
              <w:pStyle w:val="style0"/>
              <w:bidi/>
              <w:spacing w:after="0" w:lineRule="auto" w:line="24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</w:p>
        </w:tc>
      </w:tr>
      <w:tr>
        <w:tblPrEx/>
        <w:trPr>
          <w:trHeight w:val="131" w:hRule="atLeast"/>
          <w:jc w:val="center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40"/>
                <w:szCs w:val="40"/>
                <w:rtl/>
                <w:lang w:bidi="ar-DZ"/>
              </w:rPr>
              <w:t>4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تنظيم المعطيات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استخراج،تنظيم،تمثيل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معطيات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واستغلالها</w:t>
            </w: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 قراءة واستعمال المعلومات المعطاةفيقوائم او في جداول او مخططات او صور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 استعمال استدلالات شخصية لحل مشكلات باستعمال معطيات عددية( معطاة في قوائم او جداول او مخططات او صور)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 مرحلية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بداية المقطع التعلمي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</w:pPr>
          </w:p>
        </w:tc>
      </w:tr>
      <w:tr>
        <w:tblPrEx/>
        <w:trPr>
          <w:trHeight w:val="131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استعمال خواص الخطية في وضعية تناسبية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-استعمال الخطية و الضربية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-القاعدة الثلاثية (الرجوع الى الوحدة)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-مشكلات المقارنة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كفاءة ممتدة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بداية السنة الدراسية</w:t>
            </w: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</w:pPr>
          </w:p>
        </w:tc>
      </w:tr>
      <w:tr>
        <w:tblPrEx/>
        <w:trPr>
          <w:trHeight w:val="133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استعمال النسبة المئوية 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-حساب 'نسبة مئوية من عدد' بكيفية سليمة في حالات بسيطة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معالجة آنية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ة</w:t>
            </w:r>
          </w:p>
          <w:p>
            <w:pPr>
              <w:pStyle w:val="style0"/>
              <w:bidi/>
              <w:spacing w:after="0" w:lineRule="auto" w:line="24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 xml:space="preserve"> الاء</w:t>
            </w:r>
          </w:p>
        </w:tc>
      </w:tr>
      <w:tr>
        <w:tblPrEx/>
        <w:trPr>
          <w:trHeight w:val="131" w:hRule="atLeast"/>
          <w:jc w:val="center"/>
        </w:trPr>
        <w:tc>
          <w:tcPr>
            <w:tcW w:w="705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1" w:type="dxa"/>
            <w:vMerge w:val="continue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معالجة آنية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bidi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/>
                <w:lang w:eastAsia="fr-FR"/>
              </w:rPr>
              <w:t>ا</w:t>
            </w:r>
          </w:p>
          <w:p>
            <w:pPr>
              <w:pStyle w:val="style0"/>
              <w:bidi/>
              <w:spacing w:after="0" w:lineRule="auto" w:line="240"/>
              <w:rPr>
                <w:rFonts w:ascii="Sakkal Majalla" w:cs="Sakkal Majalla" w:eastAsia="Calibri" w:hAnsi="Sakkal Majalla"/>
                <w:sz w:val="20"/>
                <w:szCs w:val="20"/>
                <w:rtl/>
                <w:lang w:bidi="ar-DZ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akkal Majalla">
    <w:altName w:val="Sakkal Majalla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522</Words>
  <Pages>4</Pages>
  <Characters>2762</Characters>
  <Application>WPS Office</Application>
  <DocSecurity>0</DocSecurity>
  <Paragraphs>214</Paragraphs>
  <ScaleCrop>false</ScaleCrop>
  <LinksUpToDate>false</LinksUpToDate>
  <CharactersWithSpaces>3389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2024-09-28T23:02:00Z</dcterms:created>
  <dc:creator>GUEDOUAR Hadjer</dc:creator>
  <lastModifiedBy>CPH2203</lastModifiedBy>
  <dcterms:modified xsi:type="dcterms:W3CDTF">2024-09-28T23:02:00Z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07e8f367d6344054b175ef90f14caf67</vt:lpwstr>
  </property>
</Properties>
</file>