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9B1A5F"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60288" filled="f" stroked="f">
            <v:textbox>
              <w:txbxContent>
                <w:p w:rsidR="004178BD" w:rsidRPr="00282457" w:rsidRDefault="00981690"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8</w:t>
                  </w:r>
                </w:p>
              </w:txbxContent>
            </v:textbox>
          </v:shape>
        </w:pict>
      </w:r>
      <w:r>
        <w:rPr>
          <w:sz w:val="20"/>
          <w:szCs w:val="20"/>
          <w:rtl/>
        </w:rPr>
        <w:pict>
          <v:shape id="TextBox 15" o:spid="_x0000_s1076" type="#_x0000_t202" style="position:absolute;margin-left:-13.5pt;margin-top:3.5pt;width:215.85pt;height:45.9pt;z-index:251659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9B1A5F">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9B1A5F">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8240"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2B39D5">
        <w:trPr>
          <w:trHeight w:val="2406"/>
          <w:jc w:val="center"/>
        </w:trPr>
        <w:tc>
          <w:tcPr>
            <w:tcW w:w="10611" w:type="dxa"/>
            <w:gridSpan w:val="4"/>
            <w:vAlign w:val="center"/>
          </w:tcPr>
          <w:p w:rsidR="00560D2A" w:rsidRPr="00560D2A" w:rsidRDefault="0090472D" w:rsidP="0090472D">
            <w:pPr>
              <w:bidi/>
              <w:spacing w:line="276" w:lineRule="auto"/>
              <w:rPr>
                <w:rFonts w:ascii="Traditional Arabic" w:hAnsi="Traditional Arabic" w:cs="Traditional Arabic"/>
                <w:b/>
                <w:bCs/>
                <w:sz w:val="28"/>
                <w:szCs w:val="28"/>
                <w:rtl/>
                <w:lang w:bidi="ar-DZ"/>
              </w:rPr>
            </w:pPr>
            <w:r>
              <w:rPr>
                <w:rFonts w:ascii="Traditional Arabic" w:hAnsi="Traditional Arabic" w:cs="Traditional Arabic"/>
                <w:b/>
                <w:bCs/>
                <w:sz w:val="28"/>
                <w:szCs w:val="28"/>
                <w:rtl/>
              </w:rPr>
              <w:t xml:space="preserve"> </w:t>
            </w:r>
            <w:r w:rsidR="002B4C17">
              <w:rPr>
                <w:rFonts w:ascii="Traditional Arabic" w:hAnsi="Traditional Arabic" w:cs="Traditional Arabic" w:hint="cs"/>
                <w:b/>
                <w:bCs/>
                <w:sz w:val="28"/>
                <w:szCs w:val="28"/>
                <w:rtl/>
              </w:rPr>
              <w:t xml:space="preserve">  </w:t>
            </w:r>
            <w:r w:rsidR="002B4C17" w:rsidRPr="002B4C17">
              <w:rPr>
                <w:rFonts w:ascii="Traditional Arabic" w:hAnsi="Traditional Arabic" w:cs="Traditional Arabic" w:hint="cs"/>
                <w:b/>
                <w:bCs/>
                <w:color w:val="FF0000"/>
                <w:sz w:val="28"/>
                <w:szCs w:val="28"/>
                <w:rtl/>
              </w:rPr>
              <w:t xml:space="preserve">  </w:t>
            </w:r>
            <w:r w:rsidR="00560D2A"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Pr>
                <w:rFonts w:ascii="Traditional Arabic" w:hAnsi="Traditional Arabic" w:cs="Traditional Arabic" w:hint="cs"/>
                <w:b/>
                <w:bCs/>
                <w:color w:val="FF0000"/>
                <w:sz w:val="28"/>
                <w:szCs w:val="28"/>
                <w:u w:val="dotted"/>
                <w:rtl/>
                <w:lang w:bidi="ar-DZ"/>
              </w:rPr>
              <w:t>2</w:t>
            </w:r>
            <w:r w:rsidR="00560D2A" w:rsidRPr="000A7C14">
              <w:rPr>
                <w:rFonts w:ascii="Traditional Arabic" w:hAnsi="Traditional Arabic" w:cs="Traditional Arabic"/>
                <w:b/>
                <w:bCs/>
                <w:color w:val="FF0000"/>
                <w:sz w:val="28"/>
                <w:szCs w:val="28"/>
                <w:u w:val="dotted"/>
                <w:rtl/>
                <w:lang w:bidi="ar-DZ"/>
              </w:rPr>
              <w:t xml:space="preserve">: </w:t>
            </w:r>
            <w:r>
              <w:rPr>
                <w:rFonts w:ascii="Traditional Arabic" w:hAnsi="Traditional Arabic" w:cs="Traditional Arabic" w:hint="cs"/>
                <w:b/>
                <w:bCs/>
                <w:sz w:val="28"/>
                <w:szCs w:val="28"/>
                <w:rtl/>
              </w:rPr>
              <w:t>تأثير الحرارة والإضاءة عاى توزع الكائنات الحية ونشاطها</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bookmarkStart w:id="0" w:name="_GoBack"/>
            <w:bookmarkEnd w:id="0"/>
          </w:p>
          <w:p w:rsidR="00560D2A" w:rsidRDefault="00560D2A" w:rsidP="00C07BA1">
            <w:pPr>
              <w:pStyle w:val="ListParagraph"/>
              <w:numPr>
                <w:ilvl w:val="0"/>
                <w:numId w:val="6"/>
              </w:numPr>
              <w:bidi/>
              <w:spacing w:line="276" w:lineRule="auto"/>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C07BA1">
              <w:rPr>
                <w:rFonts w:ascii="Traditional Arabic" w:hAnsi="Traditional Arabic" w:cs="Traditional Arabic" w:hint="cs"/>
                <w:b/>
                <w:bCs/>
                <w:sz w:val="28"/>
                <w:szCs w:val="28"/>
                <w:rtl/>
              </w:rPr>
              <w:t>يصف تأثير العوامل المناخية على شدة الوظائف الحيوية</w:t>
            </w:r>
            <w:r w:rsidR="00BB442E">
              <w:rPr>
                <w:rFonts w:ascii="Traditional Arabic" w:hAnsi="Traditional Arabic" w:cs="Traditional Arabic" w:hint="cs"/>
                <w:b/>
                <w:bCs/>
                <w:sz w:val="28"/>
                <w:szCs w:val="28"/>
                <w:rtl/>
              </w:rPr>
              <w:t>.</w:t>
            </w:r>
          </w:p>
          <w:p w:rsidR="00560D2A" w:rsidRPr="00CF58B4" w:rsidRDefault="00560D2A" w:rsidP="009512F5">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4B09DF" w:rsidRDefault="00092573" w:rsidP="00EF5373">
            <w:pPr>
              <w:bidi/>
              <w:spacing w:line="276" w:lineRule="auto"/>
              <w:rPr>
                <w:rFonts w:ascii="Traditional Arabic" w:hAnsi="Traditional Arabic" w:cs="Traditional Arabic"/>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p>
        </w:tc>
        <w:tc>
          <w:tcPr>
            <w:tcW w:w="5306" w:type="dxa"/>
            <w:gridSpan w:val="2"/>
            <w:vAlign w:val="center"/>
          </w:tcPr>
          <w:p w:rsidR="00092573" w:rsidRPr="006C0A32" w:rsidRDefault="00092573" w:rsidP="00B84319">
            <w:pPr>
              <w:pStyle w:val="TableParagraph"/>
              <w:bidi/>
              <w:spacing w:line="298" w:lineRule="exact"/>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4B09DF">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405B8B">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943F1" w:rsidRPr="00E2651C" w:rsidRDefault="00AF7CB3" w:rsidP="00AF7CB3">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عرفنا فيما سبق أن توزع الكائنات الحية في الجزائر مثلا مرتبط بمجموعة من العوامل أبرزها العوامل المناخية التي تختلف من منطقة لأخرى مؤدية إلى اختلاف توزع الكائنات الحية ولعل أبرز مثال عن هذه العوامل نجد عاملي الحرارة والإضاءة.</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D430E3" w:rsidP="004C53DB">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كيف تؤثر </w:t>
            </w:r>
            <w:r w:rsidR="004C53DB">
              <w:rPr>
                <w:rFonts w:ascii="Traditional Arabic" w:hAnsi="Traditional Arabic" w:cs="Traditional Arabic" w:hint="cs"/>
                <w:b/>
                <w:bCs/>
                <w:sz w:val="28"/>
                <w:szCs w:val="28"/>
                <w:rtl/>
              </w:rPr>
              <w:t>الحرارة والإضاءة على توزع الكائنات الحية ونشاطها</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062A47" w:rsidTr="00BD071F">
        <w:trPr>
          <w:trHeight w:val="5265"/>
        </w:trPr>
        <w:tc>
          <w:tcPr>
            <w:tcW w:w="669" w:type="dxa"/>
          </w:tcPr>
          <w:p w:rsidR="00062A47" w:rsidRPr="00CF569A" w:rsidRDefault="00062A47">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062A47" w:rsidRDefault="00062A47" w:rsidP="00A61711">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تأثير الحرارة على توزع ونشاط الكائنات الحية.</w:t>
            </w:r>
          </w:p>
          <w:p w:rsidR="009A605A" w:rsidRDefault="009A605A" w:rsidP="009A605A">
            <w:pPr>
              <w:pStyle w:val="TableParagraph"/>
              <w:bidi/>
              <w:spacing w:before="2" w:line="360" w:lineRule="auto"/>
              <w:ind w:left="94"/>
              <w:rPr>
                <w:rFonts w:ascii="Traditional Arabic" w:hAnsi="Traditional Arabic" w:cs="Traditional Arabic"/>
                <w:b/>
                <w:bCs/>
                <w:sz w:val="28"/>
                <w:szCs w:val="28"/>
                <w:rtl/>
              </w:rPr>
            </w:pPr>
            <w:r>
              <w:rPr>
                <w:noProof/>
                <w:lang w:val="en-US" w:eastAsia="en-US"/>
              </w:rPr>
              <w:drawing>
                <wp:anchor distT="0" distB="0" distL="114300" distR="114300" simplePos="0" relativeHeight="251655168" behindDoc="0" locked="0" layoutInCell="1" allowOverlap="1" wp14:anchorId="2F392C98" wp14:editId="3F7099B0">
                  <wp:simplePos x="0" y="0"/>
                  <wp:positionH relativeFrom="margin">
                    <wp:posOffset>-42545</wp:posOffset>
                  </wp:positionH>
                  <wp:positionV relativeFrom="margin">
                    <wp:posOffset>520065</wp:posOffset>
                  </wp:positionV>
                  <wp:extent cx="2724150" cy="2676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14:sizeRelH relativeFrom="margin">
                    <wp14:pctWidth>0</wp14:pctWidth>
                  </wp14:sizeRelH>
                  <wp14:sizeRelV relativeFrom="margin">
                    <wp14:pctHeight>0</wp14:pctHeight>
                  </wp14:sizeRelV>
                </wp:anchor>
              </w:drawing>
            </w:r>
          </w:p>
          <w:p w:rsidR="009A605A" w:rsidRDefault="009A605A" w:rsidP="009A605A">
            <w:pPr>
              <w:pStyle w:val="TableParagraph"/>
              <w:bidi/>
              <w:spacing w:before="2" w:line="360" w:lineRule="auto"/>
              <w:ind w:left="94"/>
              <w:rPr>
                <w:rFonts w:ascii="Traditional Arabic" w:hAnsi="Traditional Arabic" w:cs="Traditional Arabic"/>
                <w:b/>
                <w:bCs/>
                <w:sz w:val="28"/>
                <w:szCs w:val="28"/>
                <w:rtl/>
              </w:rPr>
            </w:pPr>
          </w:p>
          <w:p w:rsidR="00062A47" w:rsidRPr="009A605A" w:rsidRDefault="009A605A" w:rsidP="00780365">
            <w:pPr>
              <w:pStyle w:val="TableParagraph"/>
              <w:bidi/>
              <w:spacing w:before="2"/>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rPr>
              <w:t>لدراسة تأثير أحد العوامل المناخية على توزع الكائنات الحية ونشاطها، قمنا بزراعة بذور فاصولياء في نفس اليوم في تربة خصبة ثم سقيت بانتظام تحت إضاءة مناسبة فتحصلنا على النتائج التالية</w:t>
            </w:r>
            <w:r>
              <w:rPr>
                <w:rFonts w:ascii="Traditional Arabic" w:hAnsi="Traditional Arabic" w:cs="Traditional Arabic" w:hint="cs"/>
                <w:b/>
                <w:bCs/>
                <w:sz w:val="28"/>
                <w:szCs w:val="28"/>
                <w:rtl/>
                <w:lang w:bidi="ar-DZ"/>
              </w:rPr>
              <w:t xml:space="preserve">: </w:t>
            </w:r>
          </w:p>
        </w:tc>
        <w:tc>
          <w:tcPr>
            <w:tcW w:w="1359" w:type="dxa"/>
            <w:vAlign w:val="center"/>
          </w:tcPr>
          <w:p w:rsidR="00062A47" w:rsidRDefault="00062A47">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536"/>
        <w:gridCol w:w="141"/>
        <w:gridCol w:w="4395"/>
        <w:gridCol w:w="1259"/>
      </w:tblGrid>
      <w:tr w:rsidR="00872FF1" w:rsidTr="00632CF1">
        <w:trPr>
          <w:trHeight w:val="3534"/>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4677" w:type="dxa"/>
            <w:gridSpan w:val="2"/>
            <w:tcBorders>
              <w:top w:val="single" w:sz="4" w:space="0" w:color="auto"/>
              <w:bottom w:val="single" w:sz="4" w:space="0" w:color="auto"/>
            </w:tcBorders>
            <w:shd w:val="clear" w:color="auto" w:fill="auto"/>
            <w:tcMar>
              <w:left w:w="113" w:type="dxa"/>
              <w:right w:w="113" w:type="dxa"/>
            </w:tcMar>
            <w:vAlign w:val="center"/>
          </w:tcPr>
          <w:p w:rsidR="00872FF1" w:rsidRDefault="00872FF1" w:rsidP="00684969">
            <w:pPr>
              <w:pStyle w:val="TableParagraph"/>
              <w:numPr>
                <w:ilvl w:val="0"/>
                <w:numId w:val="26"/>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العامل المتغير هو: </w:t>
            </w:r>
            <w:r w:rsidRPr="00242A15">
              <w:rPr>
                <w:rFonts w:ascii="Traditional Arabic" w:hAnsi="Traditional Arabic" w:cs="Traditional Arabic" w:hint="cs"/>
                <w:b/>
                <w:bCs/>
                <w:color w:val="FF0000"/>
                <w:sz w:val="28"/>
                <w:szCs w:val="28"/>
                <w:rtl/>
              </w:rPr>
              <w:t>درجة الحرارة</w:t>
            </w:r>
            <w:r>
              <w:rPr>
                <w:rFonts w:ascii="Traditional Arabic" w:hAnsi="Traditional Arabic" w:cs="Traditional Arabic" w:hint="cs"/>
                <w:b/>
                <w:bCs/>
                <w:sz w:val="28"/>
                <w:szCs w:val="28"/>
                <w:rtl/>
              </w:rPr>
              <w:t>.</w:t>
            </w:r>
          </w:p>
          <w:p w:rsidR="00872FF1" w:rsidRDefault="00872FF1" w:rsidP="00684969">
            <w:pPr>
              <w:pStyle w:val="TableParagraph"/>
              <w:numPr>
                <w:ilvl w:val="0"/>
                <w:numId w:val="26"/>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نلاحظ إنتاش البذور في الوسط معتدل الحرارة 25م</w:t>
            </w:r>
            <w:r w:rsidRPr="00632CF1">
              <w:rPr>
                <w:rFonts w:ascii="Traditional Arabic" w:hAnsi="Traditional Arabic" w:cs="Traditional Arabic" w:hint="cs"/>
                <w:b/>
                <w:bCs/>
                <w:sz w:val="28"/>
                <w:szCs w:val="28"/>
                <w:vertAlign w:val="superscript"/>
                <w:rtl/>
              </w:rPr>
              <w:t>0</w:t>
            </w:r>
            <w:r>
              <w:rPr>
                <w:rFonts w:ascii="Traditional Arabic" w:hAnsi="Traditional Arabic" w:cs="Traditional Arabic" w:hint="cs"/>
                <w:b/>
                <w:bCs/>
                <w:sz w:val="28"/>
                <w:szCs w:val="28"/>
                <w:vertAlign w:val="superscript"/>
                <w:rtl/>
              </w:rPr>
              <w:t xml:space="preserve"> </w:t>
            </w:r>
            <w:r>
              <w:rPr>
                <w:rFonts w:ascii="Traditional Arabic" w:hAnsi="Traditional Arabic" w:cs="Traditional Arabic" w:hint="cs"/>
                <w:b/>
                <w:bCs/>
                <w:sz w:val="28"/>
                <w:szCs w:val="28"/>
                <w:rtl/>
              </w:rPr>
              <w:t>وعدم إنتاشها في الأوساط الأخرى.</w:t>
            </w:r>
          </w:p>
          <w:p w:rsidR="00872FF1" w:rsidRDefault="00872FF1" w:rsidP="00684969">
            <w:pPr>
              <w:pStyle w:val="TableParagraph"/>
              <w:bidi/>
              <w:spacing w:line="276" w:lineRule="auto"/>
              <w:ind w:left="360"/>
              <w:jc w:val="lowKashida"/>
              <w:rPr>
                <w:rFonts w:ascii="Traditional Arabic" w:hAnsi="Traditional Arabic" w:cs="Traditional Arabic"/>
                <w:b/>
                <w:bCs/>
                <w:sz w:val="28"/>
                <w:szCs w:val="28"/>
                <w:rtl/>
              </w:rPr>
            </w:pPr>
            <w:r w:rsidRPr="00242A15">
              <w:rPr>
                <w:rFonts w:ascii="Traditional Arabic" w:hAnsi="Traditional Arabic" w:cs="Traditional Arabic" w:hint="cs"/>
                <w:b/>
                <w:bCs/>
                <w:color w:val="FF0000"/>
                <w:sz w:val="28"/>
                <w:szCs w:val="28"/>
                <w:u w:val="single"/>
                <w:rtl/>
              </w:rPr>
              <w:t>الاستنتاج</w:t>
            </w:r>
            <w:r w:rsidRPr="00242A15">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لدرجة الحرارة دور في توزع ونشاط الكائنات الحية.</w:t>
            </w:r>
          </w:p>
        </w:tc>
        <w:tc>
          <w:tcPr>
            <w:tcW w:w="4395" w:type="dxa"/>
            <w:tcBorders>
              <w:top w:val="single" w:sz="4" w:space="0" w:color="auto"/>
              <w:bottom w:val="single" w:sz="4" w:space="0" w:color="auto"/>
            </w:tcBorders>
            <w:shd w:val="clear" w:color="auto" w:fill="auto"/>
            <w:tcMar>
              <w:left w:w="113" w:type="dxa"/>
            </w:tcMar>
            <w:vAlign w:val="center"/>
          </w:tcPr>
          <w:p w:rsidR="00872FF1" w:rsidRDefault="00872FF1" w:rsidP="00632CF1">
            <w:pPr>
              <w:pStyle w:val="TableParagraph"/>
              <w:numPr>
                <w:ilvl w:val="0"/>
                <w:numId w:val="25"/>
              </w:numPr>
              <w:bidi/>
              <w:spacing w:before="2"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حدد العامل المتغير في هذه التجربة.</w:t>
            </w:r>
          </w:p>
          <w:p w:rsidR="00872FF1" w:rsidRPr="00B46B0B" w:rsidRDefault="00872FF1" w:rsidP="00632CF1">
            <w:pPr>
              <w:pStyle w:val="TableParagraph"/>
              <w:numPr>
                <w:ilvl w:val="0"/>
                <w:numId w:val="25"/>
              </w:numPr>
              <w:bidi/>
              <w:spacing w:before="2" w:line="360"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ماذا تلاحظ؟ ماذا تستنتج؟</w:t>
            </w:r>
          </w:p>
          <w:p w:rsidR="00872FF1" w:rsidRDefault="00872FF1" w:rsidP="00C3066B">
            <w:pPr>
              <w:pStyle w:val="TableParagraph"/>
              <w:bidi/>
              <w:spacing w:line="360" w:lineRule="auto"/>
              <w:jc w:val="lowKashida"/>
              <w:rPr>
                <w:rFonts w:ascii="Traditional Arabic" w:hAnsi="Traditional Arabic" w:cs="Traditional Arabic"/>
                <w:b/>
                <w:bCs/>
                <w:sz w:val="28"/>
                <w:szCs w:val="28"/>
                <w:rtl/>
              </w:rPr>
            </w:pPr>
          </w:p>
        </w:tc>
        <w:tc>
          <w:tcPr>
            <w:tcW w:w="1259" w:type="dxa"/>
            <w:vMerge w:val="restart"/>
            <w:vAlign w:val="center"/>
          </w:tcPr>
          <w:p w:rsidR="00872FF1" w:rsidRPr="00766C8B" w:rsidRDefault="00872FF1"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872FF1" w:rsidTr="000B3719">
        <w:trPr>
          <w:trHeight w:val="5093"/>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113" w:type="dxa"/>
            </w:tcMar>
          </w:tcPr>
          <w:p w:rsidR="00872FF1" w:rsidRDefault="00872FF1" w:rsidP="007721E2">
            <w:pPr>
              <w:pStyle w:val="TableParagraph"/>
              <w:bidi/>
              <w:spacing w:before="2" w:line="360" w:lineRule="auto"/>
              <w:ind w:left="94"/>
              <w:rPr>
                <w:rFonts w:ascii="Traditional Arabic" w:hAnsi="Traditional Arabic" w:cs="Traditional Arabic"/>
                <w:b/>
                <w:bCs/>
                <w:sz w:val="28"/>
                <w:szCs w:val="28"/>
                <w:rtl/>
              </w:rPr>
            </w:pPr>
            <w:r w:rsidRPr="006D7D89">
              <w:rPr>
                <w:rFonts w:ascii="Traditional Arabic" w:hAnsi="Traditional Arabic" w:cs="Traditional Arabic"/>
                <w:b/>
                <w:bCs/>
                <w:noProof/>
                <w:sz w:val="28"/>
                <w:szCs w:val="28"/>
                <w:rtl/>
                <w:lang w:val="en-US" w:eastAsia="en-US"/>
              </w:rPr>
              <w:drawing>
                <wp:anchor distT="0" distB="0" distL="114300" distR="114300" simplePos="0" relativeHeight="251663872" behindDoc="0" locked="0" layoutInCell="1" allowOverlap="1" wp14:anchorId="01B97FE4" wp14:editId="446C0773">
                  <wp:simplePos x="0" y="0"/>
                  <wp:positionH relativeFrom="margin">
                    <wp:posOffset>26035</wp:posOffset>
                  </wp:positionH>
                  <wp:positionV relativeFrom="margin">
                    <wp:posOffset>514985</wp:posOffset>
                  </wp:positionV>
                  <wp:extent cx="5572125" cy="2371725"/>
                  <wp:effectExtent l="19050" t="19050" r="9525" b="9525"/>
                  <wp:wrapSquare wrapText="bothSides"/>
                  <wp:docPr id="2" name="Picture 2" descr="C:\Users\Hamza Moussa\Desktop\مذكرات السنة 2\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مذكرات السنة 2\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371725"/>
                          </a:xfrm>
                          <a:prstGeom prst="rect">
                            <a:avLst/>
                          </a:prstGeom>
                          <a:noFill/>
                          <a:ln>
                            <a:solidFill>
                              <a:schemeClr val="tx1"/>
                            </a:solidFill>
                          </a:ln>
                        </pic:spPr>
                      </pic:pic>
                    </a:graphicData>
                  </a:graphic>
                  <wp14:sizeRelH relativeFrom="margin">
                    <wp14:pctWidth>0</wp14:pctWidth>
                  </wp14:sizeRelH>
                </wp:anchor>
              </w:drawing>
            </w: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02</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تأثير الإضاءة على توزع ونشاط الكائنات الحية.</w:t>
            </w:r>
          </w:p>
        </w:tc>
        <w:tc>
          <w:tcPr>
            <w:tcW w:w="1259" w:type="dxa"/>
            <w:vMerge/>
            <w:vAlign w:val="center"/>
          </w:tcPr>
          <w:p w:rsidR="00872FF1" w:rsidRDefault="00872FF1" w:rsidP="00E11B98">
            <w:pPr>
              <w:pStyle w:val="TableParagraph"/>
              <w:bidi/>
              <w:jc w:val="center"/>
              <w:rPr>
                <w:rFonts w:ascii="Traditional Arabic" w:hAnsi="Traditional Arabic" w:cs="Traditional Arabic"/>
                <w:b/>
                <w:bCs/>
                <w:sz w:val="32"/>
                <w:szCs w:val="32"/>
                <w:rtl/>
              </w:rPr>
            </w:pPr>
          </w:p>
        </w:tc>
      </w:tr>
      <w:tr w:rsidR="00BD43F3" w:rsidTr="00284A07">
        <w:trPr>
          <w:trHeight w:val="2402"/>
        </w:trPr>
        <w:tc>
          <w:tcPr>
            <w:tcW w:w="426" w:type="dxa"/>
            <w:tcBorders>
              <w:top w:val="single" w:sz="4" w:space="0" w:color="auto"/>
            </w:tcBorders>
          </w:tcPr>
          <w:p w:rsidR="00BD43F3" w:rsidRPr="00C4482A" w:rsidRDefault="00BD43F3"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57" w:type="dxa"/>
            </w:tcMar>
            <w:vAlign w:val="center"/>
          </w:tcPr>
          <w:p w:rsidR="00BD43F3" w:rsidRPr="006D7D89" w:rsidRDefault="006A2FDB" w:rsidP="00B5740C">
            <w:pPr>
              <w:pStyle w:val="TableParagraph"/>
              <w:numPr>
                <w:ilvl w:val="0"/>
                <w:numId w:val="27"/>
              </w:numPr>
              <w:bidi/>
              <w:spacing w:before="2" w:line="276" w:lineRule="auto"/>
              <w:jc w:val="lowKashida"/>
              <w:rPr>
                <w:rFonts w:ascii="Traditional Arabic" w:hAnsi="Traditional Arabic" w:cs="Traditional Arabic"/>
                <w:b/>
                <w:bCs/>
                <w:noProof/>
                <w:sz w:val="28"/>
                <w:szCs w:val="28"/>
                <w:rtl/>
                <w:lang w:val="en-US" w:eastAsia="en-US"/>
              </w:rPr>
            </w:pPr>
            <w:r>
              <w:rPr>
                <w:rFonts w:ascii="Traditional Arabic" w:hAnsi="Traditional Arabic" w:cs="Traditional Arabic" w:hint="cs"/>
                <w:b/>
                <w:bCs/>
                <w:noProof/>
                <w:sz w:val="28"/>
                <w:szCs w:val="28"/>
                <w:rtl/>
                <w:lang w:val="en-US" w:eastAsia="en-US"/>
              </w:rPr>
              <w:t xml:space="preserve">تمنع </w:t>
            </w:r>
            <w:r w:rsidRPr="00872FF1">
              <w:rPr>
                <w:rFonts w:ascii="Traditional Arabic" w:hAnsi="Traditional Arabic" w:cs="Traditional Arabic" w:hint="cs"/>
                <w:b/>
                <w:bCs/>
                <w:noProof/>
                <w:color w:val="FF0000"/>
                <w:sz w:val="28"/>
                <w:szCs w:val="28"/>
                <w:rtl/>
                <w:lang w:val="en-US" w:eastAsia="en-US"/>
              </w:rPr>
              <w:t>التضاريس</w:t>
            </w:r>
            <w:r>
              <w:rPr>
                <w:rFonts w:ascii="Traditional Arabic" w:hAnsi="Traditional Arabic" w:cs="Traditional Arabic" w:hint="cs"/>
                <w:b/>
                <w:bCs/>
                <w:noProof/>
                <w:sz w:val="28"/>
                <w:szCs w:val="28"/>
                <w:rtl/>
                <w:lang w:val="en-US" w:eastAsia="en-US"/>
              </w:rPr>
              <w:t xml:space="preserve"> مرور الأشعة الضوئية إلى المنحدر الشمالي صباحا حيث تكون </w:t>
            </w:r>
            <w:r w:rsidRPr="00872FF1">
              <w:rPr>
                <w:rFonts w:ascii="Traditional Arabic" w:hAnsi="Traditional Arabic" w:cs="Traditional Arabic" w:hint="cs"/>
                <w:b/>
                <w:bCs/>
                <w:noProof/>
                <w:color w:val="FF0000"/>
                <w:sz w:val="28"/>
                <w:szCs w:val="28"/>
                <w:rtl/>
                <w:lang w:val="en-US" w:eastAsia="en-US"/>
              </w:rPr>
              <w:t>الإضاءة والحرارة</w:t>
            </w:r>
            <w:r>
              <w:rPr>
                <w:rFonts w:ascii="Traditional Arabic" w:hAnsi="Traditional Arabic" w:cs="Traditional Arabic" w:hint="cs"/>
                <w:b/>
                <w:bCs/>
                <w:noProof/>
                <w:sz w:val="28"/>
                <w:szCs w:val="28"/>
                <w:rtl/>
                <w:lang w:val="en-US" w:eastAsia="en-US"/>
              </w:rPr>
              <w:t xml:space="preserve"> أكبر في المنحدر الجنوبي على مدار السنة، مما يفسر كثافة الغطاء النباتي في المنحدر الجنوبي مقارنة بالشمالي.</w:t>
            </w:r>
          </w:p>
        </w:tc>
        <w:tc>
          <w:tcPr>
            <w:tcW w:w="4536" w:type="dxa"/>
            <w:gridSpan w:val="2"/>
            <w:tcBorders>
              <w:top w:val="single" w:sz="4" w:space="0" w:color="auto"/>
              <w:bottom w:val="single" w:sz="4" w:space="0" w:color="auto"/>
            </w:tcBorders>
            <w:shd w:val="clear" w:color="auto" w:fill="auto"/>
            <w:tcMar>
              <w:left w:w="113" w:type="dxa"/>
              <w:right w:w="57" w:type="dxa"/>
            </w:tcMar>
            <w:vAlign w:val="center"/>
          </w:tcPr>
          <w:p w:rsidR="00BD43F3" w:rsidRDefault="00BD43F3" w:rsidP="00B5740C">
            <w:pPr>
              <w:pStyle w:val="TableParagraph"/>
              <w:numPr>
                <w:ilvl w:val="0"/>
                <w:numId w:val="28"/>
              </w:numPr>
              <w:bidi/>
              <w:spacing w:before="2" w:line="276" w:lineRule="auto"/>
              <w:jc w:val="lowKashida"/>
              <w:rPr>
                <w:rFonts w:ascii="Traditional Arabic" w:hAnsi="Traditional Arabic" w:cs="Traditional Arabic"/>
                <w:b/>
                <w:bCs/>
                <w:noProof/>
                <w:sz w:val="28"/>
                <w:szCs w:val="28"/>
                <w:lang w:val="en-US" w:eastAsia="en-US"/>
              </w:rPr>
            </w:pPr>
            <w:r>
              <w:rPr>
                <w:rFonts w:ascii="Traditional Arabic" w:hAnsi="Traditional Arabic" w:cs="Traditional Arabic" w:hint="cs"/>
                <w:b/>
                <w:bCs/>
                <w:noProof/>
                <w:sz w:val="28"/>
                <w:szCs w:val="28"/>
                <w:rtl/>
                <w:lang w:val="en-US" w:eastAsia="en-US"/>
              </w:rPr>
              <w:t>انطلاقا من الوثائق المعروضة، فسر كثافة الغطاء النباتي في المنحدر الجنوبي وقلته في المنحدر الشمالي.</w:t>
            </w:r>
          </w:p>
          <w:p w:rsidR="00BD43F3" w:rsidRPr="006D7D89" w:rsidRDefault="00BD43F3" w:rsidP="00B5740C">
            <w:pPr>
              <w:pStyle w:val="TableParagraph"/>
              <w:bidi/>
              <w:spacing w:before="2" w:line="360" w:lineRule="auto"/>
              <w:ind w:left="94"/>
              <w:jc w:val="lowKashida"/>
              <w:rPr>
                <w:rFonts w:ascii="Traditional Arabic" w:hAnsi="Traditional Arabic" w:cs="Traditional Arabic"/>
                <w:b/>
                <w:bCs/>
                <w:noProof/>
                <w:sz w:val="28"/>
                <w:szCs w:val="28"/>
                <w:rtl/>
                <w:lang w:val="en-US" w:eastAsia="en-US"/>
              </w:rPr>
            </w:pPr>
          </w:p>
        </w:tc>
        <w:tc>
          <w:tcPr>
            <w:tcW w:w="1259" w:type="dxa"/>
            <w:vAlign w:val="center"/>
          </w:tcPr>
          <w:p w:rsidR="00BD43F3" w:rsidRDefault="00BD43F3" w:rsidP="00E11B98">
            <w:pPr>
              <w:pStyle w:val="TableParagraph"/>
              <w:bidi/>
              <w:jc w:val="center"/>
              <w:rPr>
                <w:rFonts w:ascii="Traditional Arabic" w:hAnsi="Traditional Arabic" w:cs="Traditional Arabic"/>
                <w:b/>
                <w:bCs/>
                <w:sz w:val="32"/>
                <w:szCs w:val="32"/>
                <w:rtl/>
              </w:rPr>
            </w:pPr>
          </w:p>
        </w:tc>
      </w:tr>
      <w:tr w:rsidR="002E5F6F" w:rsidTr="00DF1AFA">
        <w:trPr>
          <w:trHeight w:val="1261"/>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FFFF00"/>
            <w:tcMar>
              <w:left w:w="113" w:type="dxa"/>
              <w:right w:w="113" w:type="dxa"/>
            </w:tcMar>
            <w:vAlign w:val="center"/>
          </w:tcPr>
          <w:p w:rsidR="00DF1AFA" w:rsidRPr="00DF1AFA" w:rsidRDefault="00DF1AFA" w:rsidP="00DF1AFA">
            <w:pPr>
              <w:pStyle w:val="TableParagraph"/>
              <w:numPr>
                <w:ilvl w:val="0"/>
                <w:numId w:val="29"/>
              </w:numPr>
              <w:bidi/>
              <w:spacing w:line="276" w:lineRule="auto"/>
              <w:jc w:val="lowKashida"/>
              <w:rPr>
                <w:rFonts w:ascii="Traditional Arabic" w:hAnsi="Traditional Arabic" w:cs="Traditional Arabic"/>
                <w:b/>
                <w:bCs/>
                <w:sz w:val="28"/>
                <w:szCs w:val="28"/>
                <w:lang w:val="en-US"/>
              </w:rPr>
            </w:pPr>
            <w:r w:rsidRPr="00DF1AFA">
              <w:rPr>
                <w:rFonts w:ascii="Traditional Arabic" w:hAnsi="Traditional Arabic" w:cs="Traditional Arabic"/>
                <w:b/>
                <w:bCs/>
                <w:sz w:val="28"/>
                <w:szCs w:val="28"/>
                <w:rtl/>
              </w:rPr>
              <w:t>تتغير شدة الإضاءة بتغير خطوط العرض والتضاريس فهي ضرورية للتركيب الضوئي</w:t>
            </w:r>
            <w:r>
              <w:rPr>
                <w:rFonts w:ascii="Traditional Arabic" w:hAnsi="Traditional Arabic" w:cs="Traditional Arabic" w:hint="cs"/>
                <w:b/>
                <w:bCs/>
                <w:sz w:val="28"/>
                <w:szCs w:val="28"/>
                <w:rtl/>
                <w:lang w:bidi="ar-DZ"/>
              </w:rPr>
              <w:t>.</w:t>
            </w:r>
          </w:p>
          <w:p w:rsidR="0085288E" w:rsidRPr="00DF1AFA" w:rsidRDefault="00DF1AFA" w:rsidP="00DF1AFA">
            <w:pPr>
              <w:pStyle w:val="TableParagraph"/>
              <w:numPr>
                <w:ilvl w:val="0"/>
                <w:numId w:val="29"/>
              </w:numPr>
              <w:bidi/>
              <w:spacing w:line="276" w:lineRule="auto"/>
              <w:jc w:val="lowKashida"/>
              <w:rPr>
                <w:rFonts w:ascii="Traditional Arabic" w:hAnsi="Traditional Arabic" w:cs="Traditional Arabic"/>
                <w:b/>
                <w:bCs/>
                <w:sz w:val="28"/>
                <w:szCs w:val="28"/>
                <w:rtl/>
                <w:lang w:val="en-US" w:bidi="ar-DZ"/>
              </w:rPr>
            </w:pPr>
            <w:r w:rsidRPr="00DF1AFA">
              <w:rPr>
                <w:rFonts w:ascii="Traditional Arabic" w:hAnsi="Traditional Arabic" w:cs="Traditional Arabic"/>
                <w:b/>
                <w:bCs/>
                <w:sz w:val="28"/>
                <w:szCs w:val="28"/>
                <w:rtl/>
              </w:rPr>
              <w:t>تتغير الحرارة مثل الإضاءة وتؤثر على جميع الوظائف الحيوية كالتغذية، التنفس، التطور</w:t>
            </w:r>
            <w:r>
              <w:rPr>
                <w:rFonts w:ascii="Traditional Arabic" w:hAnsi="Traditional Arabic" w:cs="Traditional Arabic" w:hint="cs"/>
                <w:b/>
                <w:bCs/>
                <w:sz w:val="28"/>
                <w:szCs w:val="28"/>
                <w:rtl/>
                <w:lang w:bidi="ar-DZ"/>
              </w:rPr>
              <w:t>...</w:t>
            </w: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920B1B">
        <w:trPr>
          <w:trHeight w:val="1548"/>
        </w:trPr>
        <w:tc>
          <w:tcPr>
            <w:tcW w:w="426" w:type="dxa"/>
          </w:tcPr>
          <w:p w:rsidR="002E5F6F" w:rsidRPr="00C4482A" w:rsidRDefault="002E5F6F" w:rsidP="009D1621">
            <w:pPr>
              <w:pStyle w:val="TableParagraph"/>
              <w:bidi/>
              <w:rPr>
                <w:b/>
                <w:bCs/>
                <w:sz w:val="26"/>
                <w:szCs w:val="26"/>
                <w:rtl/>
              </w:rPr>
            </w:pPr>
          </w:p>
        </w:tc>
        <w:tc>
          <w:tcPr>
            <w:tcW w:w="9072" w:type="dxa"/>
            <w:gridSpan w:val="3"/>
            <w:tcBorders>
              <w:top w:val="single" w:sz="4" w:space="0" w:color="auto"/>
            </w:tcBorders>
            <w:vAlign w:val="center"/>
          </w:tcPr>
          <w:p w:rsidR="002860CD" w:rsidRPr="00920B1B" w:rsidRDefault="00920B1B" w:rsidP="002860CD">
            <w:pPr>
              <w:pStyle w:val="TableParagraph"/>
              <w:bidi/>
              <w:rPr>
                <w:rFonts w:ascii="Traditional Arabic" w:hAnsi="Traditional Arabic" w:cs="Traditional Arabic"/>
                <w:b/>
                <w:bCs/>
                <w:sz w:val="28"/>
                <w:szCs w:val="28"/>
                <w:rtl/>
                <w:lang w:val="en-US"/>
              </w:rPr>
            </w:pPr>
            <w:r>
              <w:rPr>
                <w:noProof/>
                <w:lang w:val="en-US" w:eastAsia="en-US"/>
              </w:rPr>
              <w:drawing>
                <wp:anchor distT="0" distB="0" distL="114300" distR="114300" simplePos="0" relativeHeight="251662336" behindDoc="0" locked="0" layoutInCell="1" allowOverlap="1">
                  <wp:simplePos x="647700" y="8496300"/>
                  <wp:positionH relativeFrom="margin">
                    <wp:posOffset>10160</wp:posOffset>
                  </wp:positionH>
                  <wp:positionV relativeFrom="margin">
                    <wp:posOffset>233045</wp:posOffset>
                  </wp:positionV>
                  <wp:extent cx="5734050" cy="762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762000"/>
                          </a:xfrm>
                          <a:prstGeom prst="rect">
                            <a:avLst/>
                          </a:prstGeom>
                        </pic:spPr>
                      </pic:pic>
                    </a:graphicData>
                  </a:graphic>
                  <wp14:sizeRelH relativeFrom="margin">
                    <wp14:pctWidth>0</wp14:pctWidth>
                  </wp14:sizeRelH>
                  <wp14:sizeRelV relativeFrom="margin">
                    <wp14:pctHeight>0</wp14:pctHeight>
                  </wp14:sizeRelV>
                </wp:anchor>
              </w:drawing>
            </w:r>
          </w:p>
        </w:tc>
        <w:tc>
          <w:tcPr>
            <w:tcW w:w="1259"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9742E82"/>
    <w:multiLevelType w:val="hybridMultilevel"/>
    <w:tmpl w:val="F7CC118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2FBC7E2F"/>
    <w:multiLevelType w:val="hybridMultilevel"/>
    <w:tmpl w:val="40B6D8DA"/>
    <w:lvl w:ilvl="0" w:tplc="A0A45204">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0"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6493DED"/>
    <w:multiLevelType w:val="hybridMultilevel"/>
    <w:tmpl w:val="D4AC88F0"/>
    <w:lvl w:ilvl="0" w:tplc="C394B9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3"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4" w15:restartNumberingAfterBreak="0">
    <w:nsid w:val="40FC4310"/>
    <w:multiLevelType w:val="hybridMultilevel"/>
    <w:tmpl w:val="B91C0FAE"/>
    <w:lvl w:ilvl="0" w:tplc="0ABC177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884095"/>
    <w:multiLevelType w:val="hybridMultilevel"/>
    <w:tmpl w:val="A20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14140"/>
    <w:multiLevelType w:val="hybridMultilevel"/>
    <w:tmpl w:val="F65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14C6B"/>
    <w:multiLevelType w:val="hybridMultilevel"/>
    <w:tmpl w:val="AF42F692"/>
    <w:lvl w:ilvl="0" w:tplc="E5FA6EA6">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A32DCC"/>
    <w:multiLevelType w:val="hybridMultilevel"/>
    <w:tmpl w:val="287EAD64"/>
    <w:lvl w:ilvl="0" w:tplc="694CE75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1B37FC"/>
    <w:multiLevelType w:val="hybridMultilevel"/>
    <w:tmpl w:val="4BC88EE6"/>
    <w:lvl w:ilvl="0" w:tplc="8BC20FF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6" w15:restartNumberingAfterBreak="0">
    <w:nsid w:val="7605715F"/>
    <w:multiLevelType w:val="hybridMultilevel"/>
    <w:tmpl w:val="4814734C"/>
    <w:lvl w:ilvl="0" w:tplc="ADB2130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7"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43199D"/>
    <w:multiLevelType w:val="hybridMultilevel"/>
    <w:tmpl w:val="AFF2863A"/>
    <w:lvl w:ilvl="0" w:tplc="C81A1BC0">
      <w:start w:val="1"/>
      <w:numFmt w:val="decimal"/>
      <w:lvlText w:val="%1-"/>
      <w:lvlJc w:val="left"/>
      <w:pPr>
        <w:ind w:left="720" w:hanging="360"/>
      </w:pPr>
      <w:rPr>
        <w:rFonts w:ascii="Traditional Arabic" w:eastAsia="Times New Roman" w:hAnsi="Traditional Arabic" w:cs="Traditional Arabic"/>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8"/>
  </w:num>
  <w:num w:numId="4">
    <w:abstractNumId w:val="19"/>
  </w:num>
  <w:num w:numId="5">
    <w:abstractNumId w:val="3"/>
  </w:num>
  <w:num w:numId="6">
    <w:abstractNumId w:val="1"/>
  </w:num>
  <w:num w:numId="7">
    <w:abstractNumId w:val="17"/>
  </w:num>
  <w:num w:numId="8">
    <w:abstractNumId w:val="18"/>
  </w:num>
  <w:num w:numId="9">
    <w:abstractNumId w:val="2"/>
  </w:num>
  <w:num w:numId="10">
    <w:abstractNumId w:val="6"/>
  </w:num>
  <w:num w:numId="11">
    <w:abstractNumId w:val="21"/>
  </w:num>
  <w:num w:numId="12">
    <w:abstractNumId w:val="0"/>
  </w:num>
  <w:num w:numId="13">
    <w:abstractNumId w:val="23"/>
  </w:num>
  <w:num w:numId="14">
    <w:abstractNumId w:val="11"/>
  </w:num>
  <w:num w:numId="15">
    <w:abstractNumId w:val="5"/>
  </w:num>
  <w:num w:numId="16">
    <w:abstractNumId w:val="20"/>
  </w:num>
  <w:num w:numId="17">
    <w:abstractNumId w:val="27"/>
  </w:num>
  <w:num w:numId="18">
    <w:abstractNumId w:val="10"/>
  </w:num>
  <w:num w:numId="19">
    <w:abstractNumId w:val="15"/>
  </w:num>
  <w:num w:numId="20">
    <w:abstractNumId w:val="22"/>
  </w:num>
  <w:num w:numId="21">
    <w:abstractNumId w:val="9"/>
  </w:num>
  <w:num w:numId="22">
    <w:abstractNumId w:val="4"/>
  </w:num>
  <w:num w:numId="23">
    <w:abstractNumId w:val="12"/>
  </w:num>
  <w:num w:numId="24">
    <w:abstractNumId w:val="14"/>
  </w:num>
  <w:num w:numId="25">
    <w:abstractNumId w:val="28"/>
  </w:num>
  <w:num w:numId="26">
    <w:abstractNumId w:val="24"/>
  </w:num>
  <w:num w:numId="27">
    <w:abstractNumId w:val="26"/>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33918"/>
    <w:rsid w:val="0004279C"/>
    <w:rsid w:val="00043518"/>
    <w:rsid w:val="000471A1"/>
    <w:rsid w:val="000474AF"/>
    <w:rsid w:val="00057BE5"/>
    <w:rsid w:val="00061901"/>
    <w:rsid w:val="000621B5"/>
    <w:rsid w:val="00062A47"/>
    <w:rsid w:val="00062E26"/>
    <w:rsid w:val="0008773B"/>
    <w:rsid w:val="00087B74"/>
    <w:rsid w:val="00092573"/>
    <w:rsid w:val="000A7C14"/>
    <w:rsid w:val="000B0561"/>
    <w:rsid w:val="000B2385"/>
    <w:rsid w:val="000B3719"/>
    <w:rsid w:val="000B7375"/>
    <w:rsid w:val="000C12B6"/>
    <w:rsid w:val="000C7AA1"/>
    <w:rsid w:val="000D54FD"/>
    <w:rsid w:val="000E2CCE"/>
    <w:rsid w:val="00107CAE"/>
    <w:rsid w:val="001157F6"/>
    <w:rsid w:val="00131476"/>
    <w:rsid w:val="00154752"/>
    <w:rsid w:val="0016000B"/>
    <w:rsid w:val="00173F57"/>
    <w:rsid w:val="001A191A"/>
    <w:rsid w:val="001A79CA"/>
    <w:rsid w:val="001B20E0"/>
    <w:rsid w:val="001B413E"/>
    <w:rsid w:val="001D0C2F"/>
    <w:rsid w:val="001D5BCF"/>
    <w:rsid w:val="001E2502"/>
    <w:rsid w:val="001F41AB"/>
    <w:rsid w:val="00201FAD"/>
    <w:rsid w:val="00207DB0"/>
    <w:rsid w:val="00214CA7"/>
    <w:rsid w:val="002160D5"/>
    <w:rsid w:val="0022513D"/>
    <w:rsid w:val="002267A0"/>
    <w:rsid w:val="00230181"/>
    <w:rsid w:val="002322D8"/>
    <w:rsid w:val="00234B4F"/>
    <w:rsid w:val="00240A73"/>
    <w:rsid w:val="00242A15"/>
    <w:rsid w:val="00245BAD"/>
    <w:rsid w:val="00251931"/>
    <w:rsid w:val="002632F3"/>
    <w:rsid w:val="00271727"/>
    <w:rsid w:val="00281ACE"/>
    <w:rsid w:val="00282457"/>
    <w:rsid w:val="00284A07"/>
    <w:rsid w:val="002860CD"/>
    <w:rsid w:val="00290B25"/>
    <w:rsid w:val="00294907"/>
    <w:rsid w:val="002A3527"/>
    <w:rsid w:val="002B22E7"/>
    <w:rsid w:val="002B39D5"/>
    <w:rsid w:val="002B4C17"/>
    <w:rsid w:val="002C0543"/>
    <w:rsid w:val="002C2374"/>
    <w:rsid w:val="002E5F6F"/>
    <w:rsid w:val="002E76CF"/>
    <w:rsid w:val="002F4619"/>
    <w:rsid w:val="00300528"/>
    <w:rsid w:val="00305445"/>
    <w:rsid w:val="003061D9"/>
    <w:rsid w:val="003178DE"/>
    <w:rsid w:val="0033508C"/>
    <w:rsid w:val="003371E8"/>
    <w:rsid w:val="00343DE2"/>
    <w:rsid w:val="0034672B"/>
    <w:rsid w:val="003468A8"/>
    <w:rsid w:val="0034728D"/>
    <w:rsid w:val="003504AD"/>
    <w:rsid w:val="00353A57"/>
    <w:rsid w:val="00353DD0"/>
    <w:rsid w:val="00354D20"/>
    <w:rsid w:val="00357286"/>
    <w:rsid w:val="003579AE"/>
    <w:rsid w:val="003652E9"/>
    <w:rsid w:val="003865F4"/>
    <w:rsid w:val="0039094E"/>
    <w:rsid w:val="00390DC4"/>
    <w:rsid w:val="00397ECC"/>
    <w:rsid w:val="003A1E3F"/>
    <w:rsid w:val="003B3918"/>
    <w:rsid w:val="003B4D44"/>
    <w:rsid w:val="003D2398"/>
    <w:rsid w:val="003E3BC2"/>
    <w:rsid w:val="003E590D"/>
    <w:rsid w:val="003F2D46"/>
    <w:rsid w:val="00405B8B"/>
    <w:rsid w:val="004178BD"/>
    <w:rsid w:val="00417908"/>
    <w:rsid w:val="0042397E"/>
    <w:rsid w:val="004266F0"/>
    <w:rsid w:val="00430201"/>
    <w:rsid w:val="00433A78"/>
    <w:rsid w:val="00442B15"/>
    <w:rsid w:val="00442C57"/>
    <w:rsid w:val="00444459"/>
    <w:rsid w:val="00456BB1"/>
    <w:rsid w:val="004571F8"/>
    <w:rsid w:val="004631C7"/>
    <w:rsid w:val="00466008"/>
    <w:rsid w:val="00466767"/>
    <w:rsid w:val="00467FA8"/>
    <w:rsid w:val="00497D31"/>
    <w:rsid w:val="004B09DF"/>
    <w:rsid w:val="004B278A"/>
    <w:rsid w:val="004B3872"/>
    <w:rsid w:val="004B5C26"/>
    <w:rsid w:val="004C53DB"/>
    <w:rsid w:val="004D0073"/>
    <w:rsid w:val="004D2A68"/>
    <w:rsid w:val="004E30DF"/>
    <w:rsid w:val="004E76B5"/>
    <w:rsid w:val="004E7D93"/>
    <w:rsid w:val="00503BCC"/>
    <w:rsid w:val="005154F5"/>
    <w:rsid w:val="00515794"/>
    <w:rsid w:val="00522A95"/>
    <w:rsid w:val="005246C2"/>
    <w:rsid w:val="005316F3"/>
    <w:rsid w:val="00545D18"/>
    <w:rsid w:val="005517BF"/>
    <w:rsid w:val="00560D2A"/>
    <w:rsid w:val="00564931"/>
    <w:rsid w:val="0056608E"/>
    <w:rsid w:val="00572DAB"/>
    <w:rsid w:val="00574209"/>
    <w:rsid w:val="00580CAF"/>
    <w:rsid w:val="00582BE5"/>
    <w:rsid w:val="005A049C"/>
    <w:rsid w:val="005C1B2A"/>
    <w:rsid w:val="005D2BF6"/>
    <w:rsid w:val="005D6BD6"/>
    <w:rsid w:val="005D7FA9"/>
    <w:rsid w:val="005F0791"/>
    <w:rsid w:val="006165CA"/>
    <w:rsid w:val="00621AAE"/>
    <w:rsid w:val="00627B6D"/>
    <w:rsid w:val="00632CF1"/>
    <w:rsid w:val="0064098F"/>
    <w:rsid w:val="00651304"/>
    <w:rsid w:val="006532E5"/>
    <w:rsid w:val="00653FC4"/>
    <w:rsid w:val="00655124"/>
    <w:rsid w:val="0067544E"/>
    <w:rsid w:val="00676671"/>
    <w:rsid w:val="00684969"/>
    <w:rsid w:val="006927F7"/>
    <w:rsid w:val="006948ED"/>
    <w:rsid w:val="00695717"/>
    <w:rsid w:val="00697917"/>
    <w:rsid w:val="006A2FDB"/>
    <w:rsid w:val="006C0A32"/>
    <w:rsid w:val="006D1105"/>
    <w:rsid w:val="006D40E3"/>
    <w:rsid w:val="006D52C6"/>
    <w:rsid w:val="006D7D89"/>
    <w:rsid w:val="006E1DAF"/>
    <w:rsid w:val="006E21C8"/>
    <w:rsid w:val="006F566B"/>
    <w:rsid w:val="0070463F"/>
    <w:rsid w:val="00742201"/>
    <w:rsid w:val="00743B1C"/>
    <w:rsid w:val="00766C8B"/>
    <w:rsid w:val="007721E2"/>
    <w:rsid w:val="007732C6"/>
    <w:rsid w:val="0077417B"/>
    <w:rsid w:val="00780362"/>
    <w:rsid w:val="00780365"/>
    <w:rsid w:val="007933C9"/>
    <w:rsid w:val="007A01AD"/>
    <w:rsid w:val="007A6977"/>
    <w:rsid w:val="007B34DA"/>
    <w:rsid w:val="007B732D"/>
    <w:rsid w:val="007C2AF0"/>
    <w:rsid w:val="007C40B1"/>
    <w:rsid w:val="007D55A5"/>
    <w:rsid w:val="007E7143"/>
    <w:rsid w:val="007F098E"/>
    <w:rsid w:val="008047F0"/>
    <w:rsid w:val="00836BB2"/>
    <w:rsid w:val="00843120"/>
    <w:rsid w:val="0085288E"/>
    <w:rsid w:val="00860EC4"/>
    <w:rsid w:val="00872FF1"/>
    <w:rsid w:val="008741E1"/>
    <w:rsid w:val="008779DC"/>
    <w:rsid w:val="00894CAF"/>
    <w:rsid w:val="008A5D5F"/>
    <w:rsid w:val="008E3517"/>
    <w:rsid w:val="008E5312"/>
    <w:rsid w:val="008F212C"/>
    <w:rsid w:val="0090472D"/>
    <w:rsid w:val="00906E52"/>
    <w:rsid w:val="00917749"/>
    <w:rsid w:val="00920B1B"/>
    <w:rsid w:val="00930B63"/>
    <w:rsid w:val="00932AD9"/>
    <w:rsid w:val="00933D6E"/>
    <w:rsid w:val="009512F5"/>
    <w:rsid w:val="009527AD"/>
    <w:rsid w:val="00965044"/>
    <w:rsid w:val="0097100D"/>
    <w:rsid w:val="009754E8"/>
    <w:rsid w:val="00981690"/>
    <w:rsid w:val="00987F77"/>
    <w:rsid w:val="009A605A"/>
    <w:rsid w:val="009B1A5F"/>
    <w:rsid w:val="009C2EDB"/>
    <w:rsid w:val="009C32FD"/>
    <w:rsid w:val="009D1621"/>
    <w:rsid w:val="009D76BE"/>
    <w:rsid w:val="009E5937"/>
    <w:rsid w:val="009F190F"/>
    <w:rsid w:val="009F3672"/>
    <w:rsid w:val="00A03871"/>
    <w:rsid w:val="00A106A7"/>
    <w:rsid w:val="00A24816"/>
    <w:rsid w:val="00A3116B"/>
    <w:rsid w:val="00A36311"/>
    <w:rsid w:val="00A511F2"/>
    <w:rsid w:val="00A57004"/>
    <w:rsid w:val="00A61711"/>
    <w:rsid w:val="00A62944"/>
    <w:rsid w:val="00A70F92"/>
    <w:rsid w:val="00A71693"/>
    <w:rsid w:val="00A72100"/>
    <w:rsid w:val="00A80D7E"/>
    <w:rsid w:val="00A80FA6"/>
    <w:rsid w:val="00A87B54"/>
    <w:rsid w:val="00A94444"/>
    <w:rsid w:val="00AA440F"/>
    <w:rsid w:val="00AA72E5"/>
    <w:rsid w:val="00AC5C95"/>
    <w:rsid w:val="00AC5E94"/>
    <w:rsid w:val="00AF22D8"/>
    <w:rsid w:val="00AF2392"/>
    <w:rsid w:val="00AF7CB3"/>
    <w:rsid w:val="00B01E6F"/>
    <w:rsid w:val="00B2309E"/>
    <w:rsid w:val="00B256B5"/>
    <w:rsid w:val="00B46B0B"/>
    <w:rsid w:val="00B5740C"/>
    <w:rsid w:val="00B6788F"/>
    <w:rsid w:val="00B70130"/>
    <w:rsid w:val="00B72502"/>
    <w:rsid w:val="00B72FAE"/>
    <w:rsid w:val="00B744CF"/>
    <w:rsid w:val="00B84319"/>
    <w:rsid w:val="00BB442E"/>
    <w:rsid w:val="00BC14EF"/>
    <w:rsid w:val="00BC35F6"/>
    <w:rsid w:val="00BD43F3"/>
    <w:rsid w:val="00BE0474"/>
    <w:rsid w:val="00BE2EAF"/>
    <w:rsid w:val="00BF1EB2"/>
    <w:rsid w:val="00BF28C0"/>
    <w:rsid w:val="00C02BD9"/>
    <w:rsid w:val="00C07570"/>
    <w:rsid w:val="00C07BA1"/>
    <w:rsid w:val="00C177DF"/>
    <w:rsid w:val="00C3066B"/>
    <w:rsid w:val="00C32D6C"/>
    <w:rsid w:val="00C32FD5"/>
    <w:rsid w:val="00C40D21"/>
    <w:rsid w:val="00C4482A"/>
    <w:rsid w:val="00C45A7C"/>
    <w:rsid w:val="00C54E20"/>
    <w:rsid w:val="00C8243A"/>
    <w:rsid w:val="00C835C9"/>
    <w:rsid w:val="00C85B64"/>
    <w:rsid w:val="00C86C16"/>
    <w:rsid w:val="00C938FE"/>
    <w:rsid w:val="00C943F1"/>
    <w:rsid w:val="00C94E14"/>
    <w:rsid w:val="00CA4184"/>
    <w:rsid w:val="00CA7B6A"/>
    <w:rsid w:val="00CB1BD6"/>
    <w:rsid w:val="00CB41C4"/>
    <w:rsid w:val="00CD33C7"/>
    <w:rsid w:val="00CF2C3D"/>
    <w:rsid w:val="00CF5407"/>
    <w:rsid w:val="00CF569A"/>
    <w:rsid w:val="00CF58B4"/>
    <w:rsid w:val="00D03DB3"/>
    <w:rsid w:val="00D0587F"/>
    <w:rsid w:val="00D10055"/>
    <w:rsid w:val="00D270C0"/>
    <w:rsid w:val="00D30052"/>
    <w:rsid w:val="00D35DD4"/>
    <w:rsid w:val="00D430E3"/>
    <w:rsid w:val="00D46F7B"/>
    <w:rsid w:val="00D505A0"/>
    <w:rsid w:val="00D5384D"/>
    <w:rsid w:val="00D64A4C"/>
    <w:rsid w:val="00D64EE2"/>
    <w:rsid w:val="00D6727C"/>
    <w:rsid w:val="00D80F2E"/>
    <w:rsid w:val="00D83B78"/>
    <w:rsid w:val="00DA1B9B"/>
    <w:rsid w:val="00DA2B96"/>
    <w:rsid w:val="00DA544B"/>
    <w:rsid w:val="00DB0FC1"/>
    <w:rsid w:val="00DC012B"/>
    <w:rsid w:val="00DC04A8"/>
    <w:rsid w:val="00DC5EE0"/>
    <w:rsid w:val="00DD575A"/>
    <w:rsid w:val="00DF1AFA"/>
    <w:rsid w:val="00E02453"/>
    <w:rsid w:val="00E02AF3"/>
    <w:rsid w:val="00E036B6"/>
    <w:rsid w:val="00E11B98"/>
    <w:rsid w:val="00E173CA"/>
    <w:rsid w:val="00E2651C"/>
    <w:rsid w:val="00E623D8"/>
    <w:rsid w:val="00E713DC"/>
    <w:rsid w:val="00E72EEA"/>
    <w:rsid w:val="00E82537"/>
    <w:rsid w:val="00E871CA"/>
    <w:rsid w:val="00E9366C"/>
    <w:rsid w:val="00EB2455"/>
    <w:rsid w:val="00EB73E2"/>
    <w:rsid w:val="00EC3AD1"/>
    <w:rsid w:val="00ED1BB1"/>
    <w:rsid w:val="00ED4C18"/>
    <w:rsid w:val="00EE1ECB"/>
    <w:rsid w:val="00EE4CAF"/>
    <w:rsid w:val="00EE5321"/>
    <w:rsid w:val="00EE70AE"/>
    <w:rsid w:val="00EF04AB"/>
    <w:rsid w:val="00EF28AD"/>
    <w:rsid w:val="00EF5373"/>
    <w:rsid w:val="00EF7706"/>
    <w:rsid w:val="00F00BB0"/>
    <w:rsid w:val="00F03AD5"/>
    <w:rsid w:val="00F04601"/>
    <w:rsid w:val="00F04D41"/>
    <w:rsid w:val="00F13D30"/>
    <w:rsid w:val="00F235DC"/>
    <w:rsid w:val="00F56D23"/>
    <w:rsid w:val="00F878B6"/>
    <w:rsid w:val="00F90CF8"/>
    <w:rsid w:val="00F912B3"/>
    <w:rsid w:val="00FB1891"/>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71EBFDD2"/>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 w:id="1472552375">
      <w:bodyDiv w:val="1"/>
      <w:marLeft w:val="0"/>
      <w:marRight w:val="0"/>
      <w:marTop w:val="0"/>
      <w:marBottom w:val="0"/>
      <w:divBdr>
        <w:top w:val="none" w:sz="0" w:space="0" w:color="auto"/>
        <w:left w:val="none" w:sz="0" w:space="0" w:color="auto"/>
        <w:bottom w:val="none" w:sz="0" w:space="0" w:color="auto"/>
        <w:right w:val="none" w:sz="0" w:space="0" w:color="auto"/>
      </w:divBdr>
      <w:divsChild>
        <w:div w:id="656306113">
          <w:marLeft w:val="0"/>
          <w:marRight w:val="547"/>
          <w:marTop w:val="0"/>
          <w:marBottom w:val="0"/>
          <w:divBdr>
            <w:top w:val="none" w:sz="0" w:space="0" w:color="auto"/>
            <w:left w:val="none" w:sz="0" w:space="0" w:color="auto"/>
            <w:bottom w:val="none" w:sz="0" w:space="0" w:color="auto"/>
            <w:right w:val="none" w:sz="0" w:space="0" w:color="auto"/>
          </w:divBdr>
        </w:div>
      </w:divsChild>
    </w:div>
    <w:div w:id="158973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343</cp:revision>
  <cp:lastPrinted>2021-07-23T12:22:00Z</cp:lastPrinted>
  <dcterms:created xsi:type="dcterms:W3CDTF">2021-07-21T14:59:00Z</dcterms:created>
  <dcterms:modified xsi:type="dcterms:W3CDTF">2021-08-23T09:57:00Z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