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8iw8t4o4clef"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Planification et Maitrise Opérationnelle — BU Digital (PR2)</w:t>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5">
            <w:pPr>
              <w:spacing w:after="40" w:before="40" w:lineRule="auto"/>
              <w:jc w:val="center"/>
              <w:rPr/>
            </w:pPr>
            <w:r w:rsidDel="00000000" w:rsidR="00000000" w:rsidRPr="00000000">
              <w:rPr>
                <w:b w:val="1"/>
                <w:bCs w:val="1"/>
                <w:color w:val="1b3a5c"/>
                <w:sz w:val="18"/>
                <w:szCs w:val="18"/>
                <w:rtl w:val="0"/>
              </w:rPr>
              <w:t xml:space="preserve">Réf. : SMQ-PRO-049</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Date : Mars 2026</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D">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F">
            <w:pPr>
              <w:spacing w:after="40" w:before="40" w:lineRule="auto"/>
              <w:rPr>
                <w:i w:val="1"/>
                <w:iCs w:val="1"/>
                <w:color w:val="1a1a1a"/>
                <w:sz w:val="16"/>
                <w:szCs w:val="16"/>
              </w:rPr>
            </w:pPr>
            <w:r w:rsidDel="00000000" w:rsidR="00000000" w:rsidRPr="00000000">
              <w:rPr>
                <w:color w:val="1a1a1a"/>
                <w:sz w:val="16"/>
                <w:szCs w:val="16"/>
                <w:rtl w:val="0"/>
              </w:rPr>
              <w:t xml:space="preserve">BU Leader Digital</w:t>
            </w:r>
            <w:r w:rsidDel="00000000" w:rsidR="00000000" w:rsidRPr="00000000">
              <w:rPr>
                <w:i w:val="1"/>
                <w:iCs w:val="1"/>
                <w:color w:val="1a1a1a"/>
                <w:sz w:val="16"/>
                <w:szCs w:val="16"/>
                <w:rtl w:val="0"/>
              </w:rPr>
              <w:t xml:space="preserve"> </w:t>
            </w:r>
          </w:p>
          <w:p w:rsidR="00000000" w:rsidDel="00000000" w:rsidP="00000000" w:rsidRDefault="00000000" w:rsidRPr="00000000" w14:paraId="00000010">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2">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5">
      <w:pPr>
        <w:spacing w:after="100" w:before="200" w:lineRule="auto"/>
        <w:rPr/>
      </w:pPr>
      <w:r w:rsidDel="00000000" w:rsidR="00000000" w:rsidRPr="00000000">
        <w:rPr>
          <w:rtl w:val="0"/>
        </w:rPr>
      </w:r>
    </w:p>
    <w:p w:rsidR="00000000" w:rsidDel="00000000" w:rsidP="00000000" w:rsidRDefault="00000000" w:rsidRPr="00000000" w14:paraId="00000016">
      <w:pPr>
        <w:spacing w:after="1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f" w:val="clear"/>
            <w:tcMar>
              <w:top w:w="100.0" w:type="dxa"/>
              <w:left w:w="150.0" w:type="dxa"/>
              <w:bottom w:w="100.0" w:type="dxa"/>
              <w:right w:w="150.0" w:type="dxa"/>
            </w:tcMar>
          </w:tcPr>
          <w:p w:rsidR="00000000" w:rsidDel="00000000" w:rsidP="00000000" w:rsidRDefault="00000000" w:rsidRPr="00000000" w14:paraId="00000017">
            <w:pPr>
              <w:rPr>
                <w:b w:val="1"/>
                <w:bCs w:val="1"/>
                <w:color w:val="ed7d31"/>
              </w:rPr>
            </w:pPr>
            <w:r w:rsidDel="00000000" w:rsidR="00000000" w:rsidRPr="00000000">
              <w:rPr>
                <w:b w:val="1"/>
                <w:bCs w:val="1"/>
                <w:color w:val="ed7d31"/>
                <w:rtl w:val="0"/>
              </w:rPr>
              <w:t xml:space="preserve">PÉRIMÈTRE D'APPLICATION</w:t>
            </w:r>
          </w:p>
          <w:p w:rsidR="00000000" w:rsidDel="00000000" w:rsidP="00000000" w:rsidRDefault="00000000" w:rsidRPr="00000000" w14:paraId="00000018">
            <w:pPr>
              <w:rPr/>
            </w:pPr>
            <w:r w:rsidDel="00000000" w:rsidR="00000000" w:rsidRPr="00000000">
              <w:rPr>
                <w:sz w:val="19"/>
                <w:szCs w:val="19"/>
                <w:rtl w:val="0"/>
              </w:rPr>
              <w:t xml:space="preserve">BU Conseil, Transformation Digitale &amp; Solutions Entreprises (PR2) — SFM Technologies. Applicable à tous les projets de développement SaaS, intégration IoT, déploiement de modules IA, et transformation digitale client. Couvre la planification initiale, la maîtrise en cours d'exécution et la gestion des changements planifiés ou non planifiés pour l'ensemble des projets PR2.</w:t>
            </w:r>
            <w:r w:rsidDel="00000000" w:rsidR="00000000" w:rsidRPr="00000000">
              <w:rPr>
                <w:rtl w:val="0"/>
              </w:rPr>
            </w:r>
          </w:p>
        </w:tc>
      </w:tr>
    </w:tbl>
    <w:p w:rsidR="00000000" w:rsidDel="00000000" w:rsidP="00000000" w:rsidRDefault="00000000" w:rsidRPr="00000000" w14:paraId="00000019">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FICHE D'IDENTITÉ DU DOCUMENT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000000"/>
                <w:rtl w:val="0"/>
              </w:rPr>
              <w:t xml:space="preserve">Titre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color w:val="000000"/>
                <w:rtl w:val="0"/>
              </w:rPr>
              <w:t xml:space="preserve">Procédure de Planification et de Maîtrise Opérationnelle — BU Digital (PR2)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000000"/>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color w:val="000000"/>
                <w:rtl w:val="0"/>
              </w:rPr>
              <w:t xml:space="preserve">§8.1 — Planification et maîtrise opérationnelles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000000"/>
                <w:rtl w:val="0"/>
              </w:rPr>
              <w:t xml:space="preserve">Processus SMQ concerné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color w:val="000000"/>
                <w:rtl w:val="0"/>
              </w:rPr>
              <w:t xml:space="preserve">PR2 — BU Conseil, Transformation Digitale &amp; Solutions Entreprises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color w:val="000000"/>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color w:val="000000"/>
                <w:rtl w:val="0"/>
              </w:rPr>
              <w:t xml:space="preserve">Rim Selmi — BU Leader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000000"/>
                <w:rtl w:val="0"/>
              </w:rPr>
              <w:t xml:space="preserve">Fréquence de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color w:val="000000"/>
                <w:rtl w:val="0"/>
              </w:rPr>
              <w:t xml:space="preserve">5 ans maximum (ou si changement organisationnel majeur)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b w:val="1"/>
                <w:bCs w:val="1"/>
                <w:color w:val="000000"/>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000000"/>
                <w:rtl w:val="0"/>
              </w:rPr>
              <w:t xml:space="preserve">Mai 2031</w:t>
            </w:r>
            <w:r w:rsidDel="00000000" w:rsidR="00000000" w:rsidRPr="00000000">
              <w:rPr>
                <w:rtl w:val="0"/>
              </w:rPr>
            </w:r>
          </w:p>
        </w:tc>
      </w:tr>
    </w:tbl>
    <w:p w:rsidR="00000000" w:rsidDel="00000000" w:rsidP="00000000" w:rsidRDefault="00000000" w:rsidRPr="00000000" w14:paraId="00000027">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2. OBJET</w:t>
      </w:r>
    </w:p>
    <w:p w:rsidR="00000000" w:rsidDel="00000000" w:rsidP="00000000" w:rsidRDefault="00000000" w:rsidRPr="00000000" w14:paraId="00000029">
      <w:pPr>
        <w:spacing w:after="60" w:before="60" w:lineRule="auto"/>
        <w:rPr/>
      </w:pPr>
      <w:sdt>
        <w:sdtPr>
          <w:id w:val="1405233041"/>
          <w:tag w:val="goog_rdk_0"/>
        </w:sdtPr>
        <w:sdtContent>
          <w:r w:rsidDel="00000000" w:rsidR="00000000" w:rsidRPr="00000000">
            <w:rPr>
              <w:rFonts w:ascii="Arial Unicode MS" w:cs="Arial Unicode MS" w:eastAsia="Arial Unicode MS" w:hAnsi="Arial Unicode MS"/>
              <w:rtl w:val="0"/>
            </w:rPr>
            <w:t xml:space="preserve">La présente procédure définit comment la BU Digital (PR2) planifie, maîtrise et ajuste ses activités opérationnelles conformément à ISO 9001:2015 §8.1. Elle couvre : (1) la qualification et l'ouverture de chaque projet Digital/SaaS/IoT/IA, (2) la définition des critères, méthodes et ressources pour chaque type de prestation, (3) le suivi opérationnel en cours d'exécution, (4) la maîtrise des changements planifiés et non planifiés, (5) la gestion des processus externalisés. Elle vise à garantir 80 % des projets Digital livrés dans les délais et ≥ 90 % (OQ-38).</w:t>
          </w:r>
        </w:sdtContent>
      </w:sdt>
    </w:p>
    <w:p w:rsidR="00000000" w:rsidDel="00000000" w:rsidP="00000000" w:rsidRDefault="00000000" w:rsidRPr="00000000" w14:paraId="0000002A">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3. RESPONSABILITÉS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b w:val="1"/>
                <w:bCs w:val="1"/>
                <w:color w:val="ffffff"/>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rtl w:val="0"/>
              </w:rPr>
              <w:t xml:space="preserve">Responsabilités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b w:val="1"/>
                <w:bCs w:val="1"/>
                <w:color w:val="000000"/>
                <w:rtl w:val="0"/>
              </w:rPr>
              <w:t xml:space="preserve">Direction Générale — Sami Tabbane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000000"/>
                <w:rtl w:val="0"/>
              </w:rPr>
              <w:t xml:space="preserve">Approuve la procédure. Alloue les ressources stratégiques. Autorise les missions &gt; 50 k€. Arbitre les changements majeurs de périmètre.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1"/>
                <w:bCs w:val="1"/>
                <w:color w:val="000000"/>
                <w:rtl w:val="0"/>
              </w:rPr>
              <w:t xml:space="preserve">BU Leader Digital — Rim Selmi (RS)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color w:val="000000"/>
                <w:rtl w:val="0"/>
              </w:rPr>
              <w:t xml:space="preserve">Pilote de la procédure. Valide la décision GO/NO-GO de chaque projet. Constitue les équipes. Supervise l'exécution. Autorise les changements.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1"/>
                <w:bCs w:val="1"/>
                <w:color w:val="000000"/>
                <w:rtl w:val="0"/>
              </w:rPr>
              <w:t xml:space="preserve">Équipe de développement 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color w:val="000000"/>
                <w:rtl w:val="0"/>
              </w:rPr>
              <w:t xml:space="preserve">Réalise les activités selon le plan de projet. Met à jour quotidiennement. Signale tout écart au BU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000000"/>
                <w:rtl w:val="0"/>
              </w:rPr>
              <w:t xml:space="preserve">PMO-Qualité — Manel Idoudi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000000"/>
                <w:rtl w:val="0"/>
              </w:rPr>
              <w:t xml:space="preserve">Vérifie la conformité documentaire. Enregistre les NC. Suit les KPIs dans le dashboard SMQ. Coordonne les revues 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000000"/>
                <w:rtl w:val="0"/>
              </w:rPr>
              <w:t xml:space="preserve">Commercial Back Office — Najla Masmoudi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rtl w:val="0"/>
              </w:rPr>
              <w:t xml:space="preserve">Gère le pipeline commercial. Prépare les offres initiales. Assure le suivi contractuel et la facturation.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1"/>
                <w:bCs w:val="1"/>
                <w:color w:val="000000"/>
                <w:rtl w:val="0"/>
              </w:rPr>
              <w:t xml:space="preserve">Infrastructure IT — PS3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rtl w:val="0"/>
              </w:rPr>
              <w:t xml:space="preserve">Fournit l'infrastructure cloud (AWS/Azure). Assure la disponibilité des environnements de développement, staging et production.</w:t>
            </w:r>
            <w:r w:rsidDel="00000000" w:rsidR="00000000" w:rsidRPr="00000000">
              <w:rPr>
                <w:rtl w:val="0"/>
              </w:rPr>
            </w:r>
          </w:p>
        </w:tc>
      </w:tr>
    </w:tbl>
    <w:p w:rsidR="00000000" w:rsidDel="00000000" w:rsidP="00000000" w:rsidRDefault="00000000" w:rsidRPr="00000000" w14:paraId="0000003A">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4. DESCRIPTION DES ACTIVITÉS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793"/>
        <w:gridCol w:w="1788"/>
        <w:gridCol w:w="3321"/>
        <w:gridCol w:w="1993"/>
        <w:tblGridChange w:id="0">
          <w:tblGrid>
            <w:gridCol w:w="465"/>
            <w:gridCol w:w="1793"/>
            <w:gridCol w:w="1788"/>
            <w:gridCol w:w="3321"/>
            <w:gridCol w:w="199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b w:val="1"/>
                <w:bCs w:val="1"/>
                <w:color w:val="ffffff"/>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b w:val="1"/>
                <w:bCs w:val="1"/>
                <w:color w:val="ffffff"/>
                <w:rtl w:val="0"/>
              </w:rPr>
              <w:t xml:space="preserve">Description de l'activité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1"/>
                <w:bCs w:val="1"/>
                <w:color w:val="000000"/>
                <w:rtl w:val="0"/>
              </w:rPr>
              <w:t xml:space="preserve">Réception et qualification du besoin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rtl w:val="0"/>
              </w:rPr>
              <w:t xml:space="preserve">BU Leader (RS) + 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rtl w:val="0"/>
              </w:rPr>
              <w:t xml:space="preserve">Réception de la demande client ou identification interne d'un nouveau projet. Analyse de faisabilité technique, financière et stratégique. Décision GO/NO-GO documentée. En cas de GO, ouverture du projet avec : code projet, objectifs, périmètre, budget estimatif, délais.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18"/>
                <w:szCs w:val="18"/>
                <w:rtl w:val="0"/>
              </w:rPr>
              <w:t xml:space="preserve">SMQ-FOR-049-01 — Fiche de qualification projet PR2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b w:val="1"/>
                <w:bCs w:val="1"/>
                <w:color w:val="000000"/>
                <w:rtl w:val="0"/>
              </w:rPr>
              <w:t xml:space="preserve">Élaboration du plan de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BU Leader (RS) + Équipe 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000000"/>
                <w:rtl w:val="0"/>
              </w:rPr>
              <w:t xml:space="preserve">Rédaction du plan de projet détaillé : (a) livrables attendus par phase, (b) ressources humaines et techniques allouées, (c) planning avec jalons et dates clés, (d) critères d'acceptation de chaque livrable, (e) risques identifiés et mesures de mitigation. Validation par le BU Leader et la Direction si &gt; 50 k€. Communication du plan à toute l'équipe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000000"/>
                <w:sz w:val="18"/>
                <w:szCs w:val="18"/>
                <w:rtl w:val="0"/>
              </w:rPr>
              <w:t xml:space="preserve">SMQ-FOR-049-02 — Plan de projet PR2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000000"/>
                <w:rtl w:val="0"/>
              </w:rPr>
              <w:t xml:space="preserve">Définition des critères et méthodes de maîtrise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000000"/>
                <w:rtl w:val="0"/>
              </w:rPr>
              <w:t xml:space="preserve">BU Leader (RS)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color w:val="000000"/>
                <w:rtl w:val="0"/>
              </w:rPr>
              <w:t xml:space="preserve">Pour chaque type de prestation PR2 (SaaS, IoT, IA, conseil digital), définition des : critères de qualité du livrable, méthodes de réalisation et outils (JIRA, GitLab, COSAP), fréquence des revues d'avancement (hebdomadaire standard), indicateurs de suivi (vélocité, taux couverture tests, remplissage). Ces critères sont formalisés dans le Plan de Projet (FOR-049-02).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color w:val="000000"/>
                <w:sz w:val="18"/>
                <w:szCs w:val="18"/>
                <w:rtl w:val="0"/>
              </w:rPr>
              <w:t xml:space="preserve">SMQ-FOR-049-02 — Critères de maîtrise intégrés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color w:val="000000"/>
                <w:rtl w:val="0"/>
              </w:rPr>
              <w:t xml:space="preserve">Exécution et suivi opérationnel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color w:val="000000"/>
                <w:rtl w:val="0"/>
              </w:rPr>
              <w:t xml:space="preserve">Équipe PR2 + BU Leader (RS)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rtl w:val="0"/>
              </w:rPr>
              <w:t xml:space="preserve">Réalisation des activités selon le plan de projet. Mise à jour quotidiennement. Revues d'avancement hebdomadaires internes. Revues clients aux jalons définis. Alerte PMO-Qualité en cas de dérive (délai, qualité, coût). Application des procédures spécifiques : SMQ-PRO-010 (Agile SaaS), SMQ-PRO-013 (IoT), SMQ-PRO-015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sz w:val="18"/>
                <w:szCs w:val="18"/>
                <w:rtl w:val="0"/>
              </w:rPr>
              <w:t xml:space="preserve">SMQ-FOR-049-03 — Rapport d'avancement hebdomadaire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000000"/>
                <w:rtl w:val="0"/>
              </w:rPr>
              <w:t xml:space="preserve">Maîtrise des changements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rtl w:val="0"/>
              </w:rPr>
              <w:t xml:space="preserve">BU Leader (RS) + Client + Direction si &gt; 20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rtl w:val="0"/>
              </w:rPr>
              <w:t xml:space="preserve">Tout changement de périmètre, de planning ou de budget planifié est formalisé par un Change Request (CR). Le CR doit contenir : description du changement, impact sur le délai, le coût et la qualité, alternatives étudiées, décision validée. CR enregistré. Avenant contractuel si impact financier. Communication à toute l'équipe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sz w:val="18"/>
                <w:szCs w:val="18"/>
                <w:rtl w:val="0"/>
              </w:rPr>
              <w:t xml:space="preserve">SMQ-FOR-049-04 — Formulaire Change Request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b w:val="1"/>
                <w:bCs w:val="1"/>
                <w:color w:val="000000"/>
                <w:rtl w:val="0"/>
              </w:rPr>
              <w:t xml:space="preserve">Maîtrise des changements non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000000"/>
                <w:rtl w:val="0"/>
              </w:rPr>
              <w:t xml:space="preserve">BU Leader (RS)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En cas de changement non anticipé (défaillance technique, départ d'un expert, exigence client imprévue) : analyse immédiate d'impact par le BU Leader, évaluation des options de réponse, décision documentée dans les 48h, mise à jour du plan de projet, communication aux parties prenantes, enregistrement dans le registre des risques si récurrent. NC ouverte si impact qualité constaté.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sz w:val="18"/>
                <w:szCs w:val="18"/>
                <w:rtl w:val="0"/>
              </w:rPr>
              <w:t xml:space="preserve">SMQ-FOR-049-05 — Registre des changements non planifiés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000000"/>
                <w:rtl w:val="0"/>
              </w:rPr>
              <w:t xml:space="preserve">Maîtrise des processus externalisés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000000"/>
                <w:rtl w:val="0"/>
              </w:rPr>
              <w:t xml:space="preserve">BU Leader (RS) + Resp. IT PS3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000000"/>
                <w:rtl w:val="0"/>
              </w:rPr>
              <w:t xml:space="preserve">Pour chaque prestation confiée à un prestataire externe (cloud AWS/Azure, agence UX, sous-traitant développement) : vérification de la qualification du prestataire (liste PS3/SMQ-PRO-035), définition des exigences qualité à transmettre, suivi des livrables selon les critères définis, validation avant intégration dans les livrables SFM, enregistrement des évaluations prestataires.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SMQ-FOR-049-06 — Fiche de suivi prestataire externalisé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b w:val="1"/>
                <w:bCs w:val="1"/>
                <w:color w:val="000000"/>
                <w:rtl w:val="0"/>
              </w:rPr>
              <w:t xml:space="preserve">Clôture et bilan de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000000"/>
                <w:rtl w:val="0"/>
              </w:rPr>
              <w:t xml:space="preserve">BU Leader (RS)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rtl w:val="0"/>
              </w:rPr>
              <w:t xml:space="preserve">À la clôture de chaque projet : vérification de la complétude de tous les livrables et enregistrements, obtention de l'attestation de bonne fin client, rétrospective interne (leçons apprises), mise à jour du KMS SFM BrAIn avec les retours d'expérience, archivage complet, mise à jour des indicateurs SMQ (OQ-38).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18"/>
                <w:szCs w:val="18"/>
                <w:rtl w:val="0"/>
              </w:rPr>
              <w:t xml:space="preserve">SMQ-FOR-049-07 — Bilan de clôture projet PR2</w:t>
            </w:r>
            <w:r w:rsidDel="00000000" w:rsidR="00000000" w:rsidRPr="00000000">
              <w:rPr>
                <w:rtl w:val="0"/>
              </w:rPr>
            </w:r>
          </w:p>
        </w:tc>
      </w:tr>
    </w:tbl>
    <w:p w:rsidR="00000000" w:rsidDel="00000000" w:rsidP="00000000" w:rsidRDefault="00000000" w:rsidRPr="00000000" w14:paraId="00000069">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5. POINTS DE CONTRÔLE QUALITÉ</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b w:val="1"/>
                <w:bCs w:val="1"/>
                <w:color w:val="ffffff"/>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b w:val="1"/>
                <w:bCs w:val="1"/>
                <w:color w:val="ffffff"/>
                <w:rtl w:val="0"/>
              </w:rPr>
              <w:t xml:space="preserve">Critère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b w:val="1"/>
                <w:bCs w:val="1"/>
                <w:color w:val="ffffff"/>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1"/>
                <w:bCs w:val="1"/>
                <w:color w:val="000000"/>
                <w:rtl w:val="0"/>
              </w:rPr>
              <w:t xml:space="preserve">Plan de projet validé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rtl w:val="0"/>
              </w:rPr>
              <w:t xml:space="preserve">Plan de projet complet (livrables, ressources, planning, critères d'acceptation) approuvé par BU Leader avant démarrage.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rtl w:val="0"/>
              </w:rPr>
              <w:t xml:space="preserve">Bloquer le démarrage. Compléter le plan sous 5 jours. Alerte Direction si &gt; 50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b w:val="1"/>
                <w:bCs w:val="1"/>
                <w:color w:val="000000"/>
                <w:rtl w:val="0"/>
              </w:rPr>
              <w:t xml:space="preserve">Taux remplissage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72">
            <w:pPr>
              <w:rPr/>
            </w:pPr>
            <w:sdt>
              <w:sdtPr>
                <w:id w:val="-1143144896"/>
                <w:tag w:val="goog_rdk_1"/>
              </w:sdtPr>
              <w:sdtContent>
                <w:r w:rsidDel="00000000" w:rsidR="00000000" w:rsidRPr="00000000">
                  <w:rPr>
                    <w:rFonts w:ascii="Arial Unicode MS" w:cs="Arial Unicode MS" w:eastAsia="Arial Unicode MS" w:hAnsi="Arial Unicode MS"/>
                    <w:color w:val="000000"/>
                    <w:rtl w:val="0"/>
                  </w:rPr>
                  <w:t xml:space="preserve">Mise à jour ≥ 90 % des activités chaque semaine (OQ-38).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000000"/>
                <w:rtl w:val="0"/>
              </w:rPr>
              <w:t xml:space="preserve">Rappel par PMO-Qualité. Refus de validation des jalons si  non à jour.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b w:val="1"/>
                <w:bCs w:val="1"/>
                <w:color w:val="000000"/>
                <w:rtl w:val="0"/>
              </w:rPr>
              <w:t xml:space="preserve">Change Request documenté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000000"/>
                <w:rtl w:val="0"/>
              </w:rPr>
              <w:t xml:space="preserve">Tout changement de périmètre formalisé par CR avant mise en œuvre. Délai de traitement CR ≤ 5 jours ouvrés.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rtl w:val="0"/>
              </w:rPr>
              <w:t xml:space="preserve">CR non formalisé = NC enregistrée. Régularisation sous 24h. Alerte BU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000000"/>
                <w:rtl w:val="0"/>
              </w:rPr>
              <w:t xml:space="preserve">Livraison dans les délais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78">
            <w:pPr>
              <w:rPr/>
            </w:pPr>
            <w:sdt>
              <w:sdtPr>
                <w:id w:val="-1258531798"/>
                <w:tag w:val="goog_rdk_2"/>
              </w:sdtPr>
              <w:sdtContent>
                <w:r w:rsidDel="00000000" w:rsidR="00000000" w:rsidRPr="00000000">
                  <w:rPr>
                    <w:rFonts w:ascii="Arial Unicode MS" w:cs="Arial Unicode MS" w:eastAsia="Arial Unicode MS" w:hAnsi="Arial Unicode MS"/>
                    <w:color w:val="000000"/>
                    <w:rtl w:val="0"/>
                  </w:rPr>
                  <w:t xml:space="preserve">≥ 80 % des projets Digital livrés dans les délais contractuels.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rtl w:val="0"/>
              </w:rPr>
              <w:t xml:space="preserve">Analyse des causes (5 Pourquoi). AC documentée. Rapport à la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000000"/>
                <w:rtl w:val="0"/>
              </w:rPr>
              <w:t xml:space="preserve">Maîtrise des externalisés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000000"/>
                <w:rtl w:val="0"/>
              </w:rPr>
              <w:t xml:space="preserve">100 % des prestataires externes évalués selon critères PS3 (SMQ-PRO-035). Livrables prestataires validés avant intégration.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rtl w:val="0"/>
              </w:rPr>
              <w:t xml:space="preserve">Suspension de la sous-traitance si NC. Nouvelle évaluation. Escalade BU Leader.</w:t>
            </w:r>
            <w:r w:rsidDel="00000000" w:rsidR="00000000" w:rsidRPr="00000000">
              <w:rPr>
                <w:rtl w:val="0"/>
              </w:rPr>
            </w:r>
          </w:p>
        </w:tc>
      </w:tr>
    </w:tbl>
    <w:p w:rsidR="00000000" w:rsidDel="00000000" w:rsidP="00000000" w:rsidRDefault="00000000" w:rsidRPr="00000000" w14:paraId="0000007D">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6. ENREGISTREMENTS ET DOCUMENTS ASSOCIÉS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1200"/>
        <w:gridCol w:w="2000"/>
        <w:tblGridChange w:id="0">
          <w:tblGrid>
            <w:gridCol w:w="2000"/>
            <w:gridCol w:w="416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ffffff"/>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1"/>
                <w:bCs w:val="1"/>
                <w:color w:val="ffffff"/>
                <w:rtl w:val="0"/>
              </w:rPr>
              <w:t xml:space="preserve">Titre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b w:val="1"/>
                <w:bCs w:val="1"/>
                <w:color w:val="ffffff"/>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1"/>
                <w:bCs w:val="1"/>
                <w:color w:val="ffffff"/>
                <w:rtl w:val="0"/>
              </w:rPr>
              <w:t xml:space="preserve">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b w:val="1"/>
                <w:bCs w:val="1"/>
                <w:color w:val="000000"/>
                <w:rtl w:val="0"/>
              </w:rPr>
              <w:t xml:space="preserve">SMQ-FOR-049-01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rtl w:val="0"/>
              </w:rPr>
              <w:t xml:space="preserve">Fiche de qualification et décision GO/NO-GO projet 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18"/>
                <w:szCs w:val="18"/>
                <w:rtl w:val="0"/>
              </w:rPr>
              <w:t xml:space="preserve">Drive — Zone Projets PR2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1"/>
                <w:bCs w:val="1"/>
                <w:color w:val="000000"/>
                <w:rtl w:val="0"/>
              </w:rPr>
              <w:t xml:space="preserve">SMQ-FOR-049-02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rtl w:val="0"/>
              </w:rPr>
              <w:t xml:space="preserve">Plan de projet PR2 (livrables, ressources, critères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color w:val="000000"/>
                <w:rtl w:val="0"/>
              </w:rPr>
              <w:t xml:space="preserve">10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18"/>
                <w:szCs w:val="18"/>
                <w:rtl w:val="0"/>
              </w:rPr>
              <w:t xml:space="preserve">Drive — Zone Projets PR2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1"/>
                <w:bCs w:val="1"/>
                <w:color w:val="000000"/>
                <w:rtl w:val="0"/>
              </w:rPr>
              <w:t xml:space="preserve">SMQ-FOR-049-03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rtl w:val="0"/>
              </w:rPr>
              <w:t xml:space="preserve">Rapport d'avancement 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18"/>
                <w:szCs w:val="18"/>
                <w:rtl w:val="0"/>
              </w:rPr>
              <w:t xml:space="preserve">Drive — Zone Projets PR2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1"/>
                <w:bCs w:val="1"/>
                <w:color w:val="000000"/>
                <w:rtl w:val="0"/>
              </w:rPr>
              <w:t xml:space="preserve">SMQ-FOR-049-04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rtl w:val="0"/>
              </w:rPr>
              <w:t xml:space="preserve">Formulaire Change Request (CR) — changements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18"/>
                <w:szCs w:val="18"/>
                <w:rtl w:val="0"/>
              </w:rPr>
              <w:t xml:space="preserve">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b w:val="1"/>
                <w:bCs w:val="1"/>
                <w:color w:val="000000"/>
                <w:rtl w:val="0"/>
              </w:rPr>
              <w:t xml:space="preserve">SMQ-FOR-049-05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rtl w:val="0"/>
              </w:rPr>
              <w:t xml:space="preserve">Registre des changements non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18"/>
                <w:szCs w:val="18"/>
                <w:rtl w:val="0"/>
              </w:rPr>
              <w:t xml:space="preserve">Drive — Zone Qualité PS5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1"/>
                <w:bCs w:val="1"/>
                <w:color w:val="000000"/>
                <w:rtl w:val="0"/>
              </w:rPr>
              <w:t xml:space="preserve">SMQ-FOR-049-06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rtl w:val="0"/>
              </w:rPr>
              <w:t xml:space="preserve">Fiche de suivi prestataire externalisé 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sz w:val="18"/>
                <w:szCs w:val="18"/>
                <w:rtl w:val="0"/>
              </w:rPr>
              <w:t xml:space="preserve">Drive — Zone Fournisseurs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b w:val="1"/>
                <w:bCs w:val="1"/>
                <w:color w:val="000000"/>
                <w:rtl w:val="0"/>
              </w:rPr>
              <w:t xml:space="preserve">SMQ-FOR-049-07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rtl w:val="0"/>
              </w:rPr>
              <w:t xml:space="preserve">Bilan de clôture projet PR2 (leçons apprises)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18"/>
                <w:szCs w:val="18"/>
                <w:rtl w:val="0"/>
              </w:rPr>
              <w:t xml:space="preserve">Drive — Zone Qualité PS5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1"/>
                <w:bCs w:val="1"/>
                <w:color w:val="000000"/>
                <w:rtl w:val="0"/>
              </w:rPr>
              <w:t xml:space="preserve">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rtl w:val="0"/>
              </w:rPr>
              <w:t xml:space="preserve">Registre des documents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tl w:val="0"/>
              </w:rPr>
              <w:t xml:space="preserve">Drive</w:t>
            </w:r>
          </w:p>
        </w:tc>
      </w:tr>
    </w:tbl>
    <w:p w:rsidR="00000000" w:rsidDel="00000000" w:rsidP="00000000" w:rsidRDefault="00000000" w:rsidRPr="00000000" w14:paraId="000000A3">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7. TABLEAU DES RÉVISIONS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200"/>
        <w:gridCol w:w="2200"/>
        <w:gridCol w:w="2160"/>
        <w:tblGridChange w:id="0">
          <w:tblGrid>
            <w:gridCol w:w="1200"/>
            <w:gridCol w:w="1600"/>
            <w:gridCol w:w="22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ffffff"/>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rtl w:val="0"/>
              </w:rPr>
              <w:t xml:space="preserve">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color w:val="000000"/>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color w:val="000000"/>
                <w:rtl w:val="0"/>
              </w:rPr>
              <w:t xml:space="preserve">Mai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000000"/>
                <w:rtl w:val="0"/>
              </w:rPr>
              <w:t xml:space="preserve">Manel Idoudi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rtl w:val="0"/>
              </w:rPr>
              <w:t xml:space="preserve">Sami Tabbane — Direction Générale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rtl w:val="0"/>
              </w:rPr>
              <w:t xml:space="preserve">Création initiale du document</w:t>
            </w:r>
            <w:r w:rsidDel="00000000" w:rsidR="00000000" w:rsidRPr="00000000">
              <w:rPr>
                <w:rtl w:val="0"/>
              </w:rPr>
            </w:r>
          </w:p>
        </w:tc>
      </w:tr>
    </w:tbl>
    <w:p w:rsidR="00000000" w:rsidDel="00000000" w:rsidP="00000000" w:rsidRDefault="00000000" w:rsidRPr="00000000" w14:paraId="000000AF">
      <w:pPr>
        <w:spacing w:before="200" w:lineRule="auto"/>
        <w:jc w:val="center"/>
        <w:rPr/>
      </w:pPr>
      <w:r w:rsidDel="00000000" w:rsidR="00000000" w:rsidRPr="00000000">
        <w:rPr>
          <w:i w:val="1"/>
          <w:iCs w:val="1"/>
          <w:color w:val="777777"/>
          <w:sz w:val="16"/>
          <w:szCs w:val="16"/>
          <w:rtl w:val="0"/>
        </w:rPr>
        <w:t xml:space="preserve">SFM Technologies  ·  SMQ-PRO-049  ·  PR2 — BU Digital  ·  ISO 9001:2015 §8.1  ·  © Mai 2026</w:t>
      </w:r>
      <w:r w:rsidDel="00000000" w:rsidR="00000000" w:rsidRPr="00000000">
        <w:rPr>
          <w:rtl w:val="0"/>
        </w:rPr>
      </w:r>
    </w:p>
    <w:sectPr>
      <w:headerReference r:id="rId8" w:type="default"/>
      <w:pgSz w:h="16838" w:w="11906" w:orient="portrait"/>
      <w:pgMar w:bottom="10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bottom w:color="007b8a" w:space="3" w:sz="4" w:val="single"/>
      </w:pBdr>
      <w:spacing w:after="80" w:lineRule="auto"/>
      <w:jc w:val="right"/>
      <w:rPr/>
    </w:pPr>
    <w:r w:rsidDel="00000000" w:rsidR="00000000" w:rsidRPr="00000000">
      <w:rPr>
        <w:color w:val="888888"/>
        <w:sz w:val="16"/>
        <w:szCs w:val="16"/>
        <w:rtl w:val="0"/>
      </w:rPr>
      <w:t xml:space="preserve">TEMPLATE PROCÉDURE SMQ  |  SFM Technologies  |  ISO 9001:2015 §7.5</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lldoQbOxh4iNvl4b0UEOv8j7A==">CgMxLjAaHQoBMBIYChYIB0ISEhBBcmlhbCBVbmljb2RlIE1TGh0KATESGAoWCAdCEhIQQXJpYWwgVW5pY29kZSBNUxodCgEyEhgKFggHQhISEEFyaWFsIFVuaWNvZGUgTVMyDmguOGl3OHQ0bzRjbGVmOAByITFrS00tUWVjcWRXRU9PVjBZV1F4ekpneExGNXJjQmwweg==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