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6pp7s93q8xl0"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Propriété Client — Données Réseau, Accès SI Confidentiels (§8.5.3)</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5">
            <w:pPr>
              <w:spacing w:after="40" w:before="40" w:lineRule="auto"/>
              <w:jc w:val="center"/>
              <w:rPr/>
            </w:pPr>
            <w:r w:rsidDel="00000000" w:rsidR="00000000" w:rsidRPr="00000000">
              <w:rPr>
                <w:b w:val="1"/>
                <w:bCs w:val="1"/>
                <w:color w:val="1b3a5c"/>
                <w:sz w:val="18"/>
                <w:szCs w:val="18"/>
                <w:rtl w:val="0"/>
              </w:rPr>
              <w:t xml:space="preserve">Réf. : SMQ-PRO-032</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Date : Mai 2026</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9">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D">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F">
            <w:pPr>
              <w:spacing w:after="40" w:before="40" w:lineRule="auto"/>
              <w:rPr>
                <w:color w:val="1a1a1a"/>
                <w:sz w:val="16"/>
                <w:szCs w:val="16"/>
              </w:rPr>
            </w:pPr>
            <w:r w:rsidDel="00000000" w:rsidR="00000000" w:rsidRPr="00000000">
              <w:rPr>
                <w:color w:val="1a1a1a"/>
                <w:sz w:val="16"/>
                <w:szCs w:val="16"/>
                <w:rtl w:val="0"/>
              </w:rPr>
              <w:t xml:space="preserve">Resp IT / Sécurité SI</w:t>
            </w:r>
          </w:p>
          <w:p w:rsidR="00000000" w:rsidDel="00000000" w:rsidP="00000000" w:rsidRDefault="00000000" w:rsidRPr="00000000" w14:paraId="00000010">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2">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5">
      <w:pPr>
        <w:spacing w:after="1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f" w:val="clear"/>
            <w:tcMar>
              <w:top w:w="100.0" w:type="dxa"/>
              <w:left w:w="150.0" w:type="dxa"/>
              <w:bottom w:w="100.0" w:type="dxa"/>
              <w:right w:w="150.0" w:type="dxa"/>
            </w:tcMar>
          </w:tcPr>
          <w:p w:rsidR="00000000" w:rsidDel="00000000" w:rsidP="00000000" w:rsidRDefault="00000000" w:rsidRPr="00000000" w14:paraId="00000016">
            <w:pPr>
              <w:rPr>
                <w:color w:val="ed7d31"/>
              </w:rPr>
            </w:pPr>
            <w:r w:rsidDel="00000000" w:rsidR="00000000" w:rsidRPr="00000000">
              <w:rPr>
                <w:b w:val="1"/>
                <w:bCs w:val="1"/>
                <w:color w:val="ed7d31"/>
                <w:rtl w:val="0"/>
              </w:rPr>
              <w:t xml:space="preserve">PÉRIMÈTRE D'APPLICATION</w:t>
            </w:r>
            <w:r w:rsidDel="00000000" w:rsidR="00000000" w:rsidRPr="00000000">
              <w:rPr>
                <w:rtl w:val="0"/>
              </w:rPr>
            </w:r>
          </w:p>
          <w:p w:rsidR="00000000" w:rsidDel="00000000" w:rsidP="00000000" w:rsidRDefault="00000000" w:rsidRPr="00000000" w14:paraId="00000017">
            <w:pPr>
              <w:rPr/>
            </w:pPr>
            <w:r w:rsidDel="00000000" w:rsidR="00000000" w:rsidRPr="00000000">
              <w:rPr>
                <w:sz w:val="19"/>
                <w:szCs w:val="19"/>
                <w:rtl w:val="0"/>
              </w:rPr>
              <w:t xml:space="preserve">PS3 — Support Infrastructure IT &amp; Systèmes d'Information + PR1 (données réseau clients) + PR2 (codes sources, données SaaS clients) + PR3 (données apprenants). Applicable à toute propriété client confiée à SFM : données de mesure réseau, accès aux systèmes d'information clients, codes sources développés pour le compte de clients, données personnelles des apprenants. Couvre l'identification, la protection, la gestion des incidents et la restitution en fin de contrat.</w:t>
            </w:r>
            <w:r w:rsidDel="00000000" w:rsidR="00000000" w:rsidRPr="00000000">
              <w:rPr>
                <w:rtl w:val="0"/>
              </w:rPr>
            </w:r>
          </w:p>
        </w:tc>
      </w:tr>
    </w:tbl>
    <w:p w:rsidR="00000000" w:rsidDel="00000000" w:rsidP="00000000" w:rsidRDefault="00000000" w:rsidRPr="00000000" w14:paraId="0000001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FICHE D'IDENTITÉ DU DOCUMENT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1"/>
                <w:bCs w:val="1"/>
                <w:color w:val="000000"/>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color w:val="000000"/>
                <w:rtl w:val="0"/>
              </w:rPr>
              <w:t xml:space="preserve">Procédure Propriété Client — Données Réseau, Accès SI Confidentiels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color w:val="000000"/>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color w:val="000000"/>
                <w:rtl w:val="0"/>
              </w:rPr>
              <w:t xml:space="preserve">§8.5.3 — Propriété appartenant aux clients ou aux prestataires externes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color w:val="000000"/>
                <w:rtl w:val="0"/>
              </w:rPr>
              <w:t xml:space="preserve">Référence complémentaire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color w:val="000000"/>
                <w:rtl w:val="0"/>
              </w:rPr>
              <w:t xml:space="preserve">ISO 27001 — Contrôle des accès, Gestion des actifs, Cryptographie / RGPD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000000"/>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000000"/>
                <w:rtl w:val="0"/>
              </w:rPr>
              <w:t xml:space="preserve">PS3 — Infrastructure IT + PR1 + PR2 +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000000"/>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000000"/>
                <w:rtl w:val="0"/>
              </w:rPr>
              <w:t xml:space="preserve">Heni Guirat — Sécurité 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000000"/>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000000"/>
                <w:rtl w:val="0"/>
              </w:rPr>
              <w:t xml:space="preserve">Semestrielle (ou après tout incident de sécurité 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000000"/>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color w:val="000000"/>
                <w:rtl w:val="0"/>
              </w:rPr>
              <w:t xml:space="preserve">Novembre 2026</w:t>
            </w:r>
            <w:r w:rsidDel="00000000" w:rsidR="00000000" w:rsidRPr="00000000">
              <w:rPr>
                <w:rtl w:val="0"/>
              </w:rPr>
            </w:r>
          </w:p>
        </w:tc>
      </w:tr>
    </w:tbl>
    <w:p w:rsidR="00000000" w:rsidDel="00000000" w:rsidP="00000000" w:rsidRDefault="00000000" w:rsidRPr="00000000" w14:paraId="0000002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OBJET</w:t>
      </w:r>
    </w:p>
    <w:p w:rsidR="00000000" w:rsidDel="00000000" w:rsidP="00000000" w:rsidRDefault="00000000" w:rsidRPr="00000000" w14:paraId="0000002A">
      <w:pPr>
        <w:spacing w:after="60" w:before="60" w:lineRule="auto"/>
        <w:rPr/>
      </w:pPr>
      <w:r w:rsidDel="00000000" w:rsidR="00000000" w:rsidRPr="00000000">
        <w:rPr>
          <w:rtl w:val="0"/>
        </w:rPr>
        <w:t xml:space="preserve">La présente procédure définit comment SFM Technologies identifie, protège, surveille et gère la propriété confiée par ses clients ou ses prestataires externes, conformément à ISO 9001:2015 §8.5.3. Chez SFM, la propriété client prend 4 formes principales :</w:t>
      </w:r>
    </w:p>
    <w:p w:rsidR="00000000" w:rsidDel="00000000" w:rsidP="00000000" w:rsidRDefault="00000000" w:rsidRPr="00000000" w14:paraId="0000002B">
      <w:pPr>
        <w:spacing w:after="60" w:before="60" w:lineRule="auto"/>
        <w:rPr/>
      </w:pPr>
      <w:r w:rsidDel="00000000" w:rsidR="00000000" w:rsidRPr="00000000">
        <w:rPr>
          <w:rtl w:val="0"/>
        </w:rPr>
        <w:t xml:space="preserve">(1) Données réseau et QoS : données de mesure terrain, KPIs réseau, rapports d'audit QoS collectés sur les réseaux des opérateurs/régulateurs clients (PR1).</w:t>
      </w:r>
    </w:p>
    <w:p w:rsidR="00000000" w:rsidDel="00000000" w:rsidP="00000000" w:rsidRDefault="00000000" w:rsidRPr="00000000" w14:paraId="0000002C">
      <w:pPr>
        <w:spacing w:after="60" w:before="60" w:lineRule="auto"/>
        <w:rPr/>
      </w:pPr>
      <w:r w:rsidDel="00000000" w:rsidR="00000000" w:rsidRPr="00000000">
        <w:rPr>
          <w:rtl w:val="0"/>
        </w:rPr>
        <w:t xml:space="preserve">(2) Accès aux systèmes d'information clients : credentials, tokens API, accès VPN aux systèmes des clients pour les missions de déploiement ou d'intégration (PR1/PR2).</w:t>
      </w:r>
    </w:p>
    <w:p w:rsidR="00000000" w:rsidDel="00000000" w:rsidP="00000000" w:rsidRDefault="00000000" w:rsidRPr="00000000" w14:paraId="0000002D">
      <w:pPr>
        <w:spacing w:after="60" w:before="60" w:lineRule="auto"/>
        <w:rPr/>
      </w:pPr>
      <w:r w:rsidDel="00000000" w:rsidR="00000000" w:rsidRPr="00000000">
        <w:rPr>
          <w:rtl w:val="0"/>
        </w:rPr>
        <w:t xml:space="preserve">(3) Données et codes sources SaaS clients : données hébergées sur les solutions SaaS SFM (COSAP, BidMaster, OrQoEstra), codes sources développés pour compte de clients (PR2).</w:t>
      </w:r>
    </w:p>
    <w:p w:rsidR="00000000" w:rsidDel="00000000" w:rsidP="00000000" w:rsidRDefault="00000000" w:rsidRPr="00000000" w14:paraId="0000002E">
      <w:pPr>
        <w:spacing w:after="60" w:before="60" w:lineRule="auto"/>
        <w:rPr/>
      </w:pPr>
      <w:r w:rsidDel="00000000" w:rsidR="00000000" w:rsidRPr="00000000">
        <w:rPr>
          <w:rtl w:val="0"/>
        </w:rPr>
        <w:t xml:space="preserve">(4) Données personnelles des apprenants : données de formation (résultats, évaluations, certificats) confiées par les entreprises clientes (PR3).</w:t>
      </w:r>
    </w:p>
    <w:p w:rsidR="00000000" w:rsidDel="00000000" w:rsidP="00000000" w:rsidRDefault="00000000" w:rsidRPr="00000000" w14:paraId="0000002F">
      <w:pPr>
        <w:spacing w:after="60" w:before="60" w:lineRule="auto"/>
        <w:rPr/>
      </w:pPr>
      <w:r w:rsidDel="00000000" w:rsidR="00000000" w:rsidRPr="00000000">
        <w:rPr>
          <w:b w:val="1"/>
          <w:bCs w:val="1"/>
          <w:rtl w:val="0"/>
        </w:rPr>
        <w:t xml:space="preserve">Objectif : zéro incident de sécurité majeur sur propriété client, 100% des accès sensibles protégés par MFA, conformité RGPD.</w:t>
      </w:r>
      <w:r w:rsidDel="00000000" w:rsidR="00000000" w:rsidRPr="00000000">
        <w:rPr>
          <w:rtl w:val="0"/>
        </w:rPr>
      </w:r>
    </w:p>
    <w:p w:rsidR="00000000" w:rsidDel="00000000" w:rsidP="00000000" w:rsidRDefault="00000000" w:rsidRPr="00000000" w14:paraId="00000030">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INVENTAIRE DE LA PROPRIÉTÉ CLIENT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097"/>
        <w:gridCol w:w="1919"/>
        <w:gridCol w:w="1951"/>
        <w:gridCol w:w="2073"/>
        <w:tblGridChange w:id="0">
          <w:tblGrid>
            <w:gridCol w:w="1320"/>
            <w:gridCol w:w="2097"/>
            <w:gridCol w:w="1919"/>
            <w:gridCol w:w="1951"/>
            <w:gridCol w:w="207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color w:val="ffffff"/>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rtl w:val="0"/>
              </w:rPr>
              <w:t xml:space="preserve">Type de 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b w:val="1"/>
                <w:bCs w:val="1"/>
                <w:color w:val="ffffff"/>
                <w:rtl w:val="0"/>
              </w:rPr>
              <w:t xml:space="preserve">BU concernée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b w:val="1"/>
                <w:bCs w:val="1"/>
                <w:color w:val="ffffff"/>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color w:val="ffffff"/>
                <w:rtl w:val="0"/>
              </w:rPr>
              <w:t xml:space="preserve">Mesures de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000000"/>
                <w:rtl w:val="0"/>
              </w:rPr>
              <w:t xml:space="preserve">Données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000000"/>
                <w:rtl w:val="0"/>
              </w:rPr>
              <w:t xml:space="preserve">KPIs QoS, rapports audit, données mesure terrain, fichiers OrQoEstra/QoEntum 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rtl w:val="0"/>
              </w:rPr>
              <w:t xml:space="preserve">PR1 —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color w:val="000000"/>
                <w:rtl w:val="0"/>
              </w:rPr>
              <w:t xml:space="preserve">Confidentiel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sz w:val="17"/>
                <w:szCs w:val="17"/>
                <w:rtl w:val="0"/>
              </w:rPr>
              <w:t xml:space="preserve">Chiffrement AES-256, accès restreint équipe mission, NDA signé, destruction post-mission si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1"/>
                <w:bCs w:val="1"/>
                <w:color w:val="000000"/>
                <w:rtl w:val="0"/>
              </w:rPr>
              <w:t xml:space="preserve">Accès SI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rtl w:val="0"/>
              </w:rPr>
              <w:t xml:space="preserve">Credentials VPN, tokens API, comptes techniques d'intégration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000000"/>
                <w:rtl w:val="0"/>
              </w:rPr>
              <w:t xml:space="preserve">PR1 + 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color w:val="000000"/>
                <w:rtl w:val="0"/>
              </w:rPr>
              <w:t xml:space="preserve">Strictement confidentiel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sz w:val="17"/>
                <w:szCs w:val="17"/>
                <w:rtl w:val="0"/>
              </w:rPr>
              <w:t xml:space="preserve">Vault sécurisé (Bitwarden Enterprise), MFA obligatoire, révocation immédiate fin de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1"/>
                <w:bCs w:val="1"/>
                <w:color w:val="000000"/>
                <w:rtl w:val="0"/>
              </w:rPr>
              <w:t xml:space="preserve">Données SaaS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rtl w:val="0"/>
              </w:rPr>
              <w:t xml:space="preserve">Données hébergées (COSAP, BidMaster, OrQoEstra), exports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rtl w:val="0"/>
              </w:rPr>
              <w:t xml:space="preserve">PR2 —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color w:val="000000"/>
                <w:rtl w:val="0"/>
              </w:rPr>
              <w:t xml:space="preserve">Confidentiel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7"/>
                <w:szCs w:val="17"/>
                <w:rtl w:val="0"/>
              </w:rPr>
              <w:t xml:space="preserve">Chiffrement AWS KMS (AES-256), isolation par tenant, backup chiffré quotidien (SMQ-PRO-033)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b w:val="1"/>
                <w:bCs w:val="1"/>
                <w:color w:val="000000"/>
                <w:rtl w:val="0"/>
              </w:rPr>
              <w:t xml:space="preserve">Codes sources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000000"/>
                <w:rtl w:val="0"/>
              </w:rPr>
              <w:t xml:space="preserve">Code développé pour compte d'un client spécifique, propriété intellectuelle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PR2 —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color w:val="000000"/>
                <w:rtl w:val="0"/>
              </w:rPr>
              <w:t xml:space="preserve">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sz w:val="17"/>
                <w:szCs w:val="17"/>
                <w:rtl w:val="0"/>
              </w:rPr>
              <w:t xml:space="preserve">Repo GitLab privé dédié client, accès limité équipe projet, transfert complet en fin de contrat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b w:val="1"/>
                <w:bCs w:val="1"/>
                <w:color w:val="000000"/>
                <w:rtl w:val="0"/>
              </w:rPr>
              <w:t xml:space="preserve">Données apprenants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000000"/>
                <w:rtl w:val="0"/>
              </w:rPr>
              <w:t xml:space="preserve">Résultats évaluations, notes, données personnelles (nom, employeur,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PR3 —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color w:val="000000"/>
                <w:rtl w:val="0"/>
              </w:rPr>
              <w:t xml:space="preserve">Données personnelles (RGPD)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F">
            <w:pPr>
              <w:rPr/>
            </w:pPr>
            <w:sdt>
              <w:sdtPr>
                <w:id w:val="-370425632"/>
                <w:tag w:val="goog_rdk_0"/>
              </w:sdtPr>
              <w:sdtContent>
                <w:r w:rsidDel="00000000" w:rsidR="00000000" w:rsidRPr="00000000">
                  <w:rPr>
                    <w:rFonts w:ascii="Arial Unicode MS" w:cs="Arial Unicode MS" w:eastAsia="Arial Unicode MS" w:hAnsi="Arial Unicode MS"/>
                    <w:color w:val="000000"/>
                    <w:sz w:val="17"/>
                    <w:szCs w:val="17"/>
                    <w:rtl w:val="0"/>
                  </w:rPr>
                  <w:t xml:space="preserve">Consentement écrit, accès restreint MS+EN, durée conservation ≤ 5 ans, non-partage sans accord</w:t>
                </w:r>
              </w:sdtContent>
            </w:sdt>
            <w:r w:rsidDel="00000000" w:rsidR="00000000" w:rsidRPr="00000000">
              <w:rPr>
                <w:rtl w:val="0"/>
              </w:rPr>
            </w:r>
          </w:p>
        </w:tc>
      </w:tr>
    </w:tbl>
    <w:p w:rsidR="00000000" w:rsidDel="00000000" w:rsidP="00000000" w:rsidRDefault="00000000" w:rsidRPr="00000000" w14:paraId="00000050">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4. RESPONSABILITÉS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color w:val="ffffff"/>
                <w:rtl w:val="0"/>
              </w:rPr>
              <w:t xml:space="preserve">Responsabilités §8.5.3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000000"/>
                <w:rtl w:val="0"/>
              </w:rPr>
              <w:t xml:space="preserve">Sécurité SI — Heni Guirat (HG)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rtl w:val="0"/>
              </w:rPr>
              <w:t xml:space="preserve">Pilote. Gère la politique d'accès, les audits de sécurité, les outils SIEM/SOC. Traite tous les incidents de sécurité. Produit le rapport semestriel de conformité.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000000"/>
                <w:rtl w:val="0"/>
              </w:rPr>
              <w:t xml:space="preserve">Resp. IT — Lahaou Kone (LK)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Valide les demandes d'accès à la propriété client. Supervise les revues trimestrielles des habilitations. Révoque les accès lors des fins de mission et départs.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000000"/>
                <w:rtl w:val="0"/>
              </w:rPr>
              <w:t xml:space="preserve">DevOps/Cloud — Yassine Ben Amor (YBA)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rtl w:val="0"/>
              </w:rPr>
              <w:t xml:space="preserve">Applique les contrôles de sécurité AWS/Azure (IAM, chiffrement S3/KMS, security groups). Configure le SAST dans les pipelines CI/CD. Gère les certificats SSL/TLS et le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b w:val="1"/>
                <w:bCs w:val="1"/>
                <w:color w:val="000000"/>
                <w:rtl w:val="0"/>
              </w:rPr>
              <w:t xml:space="preserve">BU Leaders (ES/RS/MS)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rtl w:val="0"/>
              </w:rPr>
              <w:t xml:space="preserve">Responsables de la propriété client dans leur BU. Signalent immédiatement tout incident. S'assurent que leur équipe respecte les règles d'accès. Organisent la restitution en fin de contrat.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color w:val="000000"/>
                <w:rtl w:val="0"/>
              </w:rPr>
              <w:t xml:space="preserve">DRH — Dorsaf El Ghoul (DEG)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Notifie LK le jour même de tout départ ou changement de poste pour révocation immédiate des accès à la propriété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000000"/>
                <w:rtl w:val="0"/>
              </w:rPr>
              <w:t xml:space="preserve">PMO-Qualité — Manel Idoudi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rtl w:val="0"/>
              </w:rPr>
              <w:t xml:space="preserve">Suit la conformité §8.5.3 dans le dashboard SMQ. Déclenche les NC si écart. Archive les rapports de revue trimestrielle.</w:t>
            </w:r>
            <w:r w:rsidDel="00000000" w:rsidR="00000000" w:rsidRPr="00000000">
              <w:rPr>
                <w:rtl w:val="0"/>
              </w:rPr>
            </w:r>
          </w:p>
        </w:tc>
      </w:tr>
    </w:tbl>
    <w:p w:rsidR="00000000" w:rsidDel="00000000" w:rsidP="00000000" w:rsidRDefault="00000000" w:rsidRPr="00000000" w14:paraId="00000060">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DESCRIPTION DES ACTIVITÉS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798"/>
        <w:gridCol w:w="1597"/>
        <w:gridCol w:w="3510"/>
        <w:gridCol w:w="1990"/>
        <w:tblGridChange w:id="0">
          <w:tblGrid>
            <w:gridCol w:w="465"/>
            <w:gridCol w:w="1798"/>
            <w:gridCol w:w="1597"/>
            <w:gridCol w:w="3510"/>
            <w:gridCol w:w="1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b w:val="1"/>
                <w:bCs w:val="1"/>
                <w:color w:val="ffffff"/>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000000"/>
                <w:rtl w:val="0"/>
              </w:rPr>
              <w:t xml:space="preserve">Identification et enregistrement de la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rtl w:val="0"/>
              </w:rPr>
              <w:t xml:space="preserve">BU Leader + 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rtl w:val="0"/>
              </w:rPr>
              <w:t xml:space="preserve">Dès réception de propriété client (credentials, données, codes sources, données apprenants) : enregistrement dans le registre de propriété client (SMQ-FOR-032-A) avec : type de propriété, client, date de réception, classification, mesures de protection appliquées. NDA signé avant tout accès à des données client confidentielles. Attribution des accès selon le principe du moindre privilège (profil minimal nécessaire à la 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sz w:val="18"/>
                <w:szCs w:val="18"/>
                <w:rtl w:val="0"/>
              </w:rPr>
              <w:t xml:space="preserve">SMQ-FOR-032-A — Registre propriété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1"/>
                <w:bCs w:val="1"/>
                <w:color w:val="000000"/>
                <w:rtl w:val="0"/>
              </w:rPr>
              <w:t xml:space="preserve">Contrôle des accès et authentification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rtl w:val="0"/>
              </w:rPr>
              <w:t xml:space="preserve">LK + HG + Tous collaborateurs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rtl w:val="0"/>
              </w:rPr>
              <w:t xml:space="preserve">MFA obligatoire sur COSAP, GitLab, AWS/Azure, VPN, messagerie. Politique mots de passe : 12 caractères min., complexité imposée, rotation tous les 90 jours. Vault sécurisé (Bitwarden Enterprise) pour tous les credentials clients. Comptes de service : mots de passe aléatoires 24+ caractères. Aucun partage de credentials par email ou messagerie non chiffrée.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000000"/>
                <w:sz w:val="18"/>
                <w:szCs w:val="18"/>
                <w:rtl w:val="0"/>
              </w:rPr>
              <w:t xml:space="preserve">Config MFA — Log authentification / Vault Bitwarden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1"/>
                <w:bCs w:val="1"/>
                <w:color w:val="000000"/>
                <w:rtl w:val="0"/>
              </w:rPr>
              <w:t xml:space="preserve">Protection et chiffrement des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000000"/>
                <w:rtl w:val="0"/>
              </w:rPr>
              <w:t xml:space="preserve">HG + YBA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rtl w:val="0"/>
              </w:rPr>
              <w:t xml:space="preserve">Données au repos : chiffrement AES-256 (AWS KMS pour buckets S3, RDS). Données en transit : TLS 1.2+ sur toutes connexions (API, HTTPS, SFTP, VPN). Codes sources clients : repos GitLab privés dédiés, accès par token SSH uniquement. Données apprenants PR3 : stockage chiffré, accès restreint MS+EN. Sauvegardes chiffrées quotidiennes (SMQ-PRO-033).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000000"/>
                <w:sz w:val="18"/>
                <w:szCs w:val="18"/>
                <w:rtl w:val="0"/>
              </w:rPr>
              <w:t xml:space="preserve">Rapport chiffrement / Certificats SSL / Config GitLab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b w:val="1"/>
                <w:bCs w:val="1"/>
                <w:color w:val="000000"/>
                <w:rtl w:val="0"/>
              </w:rPr>
              <w:t xml:space="preserve">Sécurité réseau et périmètre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000000"/>
                <w:rtl w:val="0"/>
              </w:rPr>
              <w:t xml:space="preserve">HG + Fedi Rejeb (FR)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rtl w:val="0"/>
              </w:rPr>
              <w:t xml:space="preserve">Firewall : règles de filtrage revues trimestriellement. VPN obligatoire pour tout accès distant aux systèmes internes ou aux données client. Segmentation réseau : VLAN production / développement / administration séparés. Scan de vulnérabilités mensuel (Nessus/OpenVAS). Rapport transmis à HG et LK avant le 10 du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000000"/>
                <w:sz w:val="18"/>
                <w:szCs w:val="18"/>
                <w:rtl w:val="0"/>
              </w:rPr>
              <w:t xml:space="preserve">Rapport scan vulnérabilités mensuel / Règles firewall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000000"/>
                <w:rtl w:val="0"/>
              </w:rPr>
              <w:t xml:space="preserve">Signalement d'anomalie sur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rtl w:val="0"/>
              </w:rPr>
              <w:t xml:space="preserve">BU Leader + HG + 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rtl w:val="0"/>
              </w:rPr>
              <w:t xml:space="preserve">Si anomalie, perte, altération ou accès non autorisé à la propriété client : signalement IMMÉDIAT à HG et LK (délai max. 1h). Isolation du système compromis. Notification DG + PMO-Qualité. Ouverture ticket P1. Conservation des preuves numériques (logs immuables). Si données personnelles impliquées : notification RGPD dans les 72h.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sz w:val="18"/>
                <w:szCs w:val="18"/>
                <w:rtl w:val="0"/>
              </w:rPr>
              <w:t xml:space="preserve">SMQ-FOR-032-B — Fiche incident sécurité / Log 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b w:val="1"/>
                <w:bCs w:val="1"/>
                <w:color w:val="000000"/>
                <w:rtl w:val="0"/>
              </w:rPr>
              <w:t xml:space="preserve">Revue trimestrielle des habilitations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rtl w:val="0"/>
              </w:rPr>
              <w:t xml:space="preserve">LK + HG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Chaque trimestre : export liste complète des habilitations actives. Vérification : absence d'accès orphelins, adéquation rôle/accès, comptes inactifs. Révocation immédiate de tout accès non justifié. PV de revue signé LK transmis au PMO-Qualité dans les 5 jours après fin de 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sz w:val="18"/>
                <w:szCs w:val="18"/>
                <w:rtl w:val="0"/>
              </w:rPr>
              <w:t xml:space="preserve">SMQ-FOR-032-C — PV revue trimestrielle 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000000"/>
                <w:rtl w:val="0"/>
              </w:rPr>
              <w:t xml:space="preserve">Révocation lors des fins de mission et départs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rtl w:val="0"/>
              </w:rPr>
              <w:t xml:space="preserve">DRH (DEG) + 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En fin de mission : révocation des accès à la propriété client dans les 24h suivant la clôture formelle du contrat. En cas de départ collaborateur : révocation dans les 4h suivant notification DRH (COSAP, GitLab, AWS/Azure, VPN, messagerie, badges). Archivage des accès révoqués. Récupération des équipements par DRH.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18"/>
                <w:szCs w:val="18"/>
                <w:rtl w:val="0"/>
              </w:rPr>
              <w:t xml:space="preserve">Fiche révocation accès /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b w:val="1"/>
                <w:bCs w:val="1"/>
                <w:color w:val="000000"/>
                <w:rtl w:val="0"/>
              </w:rPr>
              <w:t xml:space="preserve">Restitution de la propriété client en fin de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rtl w:val="0"/>
              </w:rPr>
              <w:t xml:space="preserve">BU Leader + 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rtl w:val="0"/>
              </w:rPr>
              <w:t xml:space="preserve">En fin de contrat : restitution formelle de toute propriété client selon les termes contractuels. Transfert des codes sources (GitLab export), export des données SaaS (format standard), destruction des copies internes si requise par le contrat. PV de restitution signé par les deux parties. Archivage.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sz w:val="18"/>
                <w:szCs w:val="18"/>
                <w:rtl w:val="0"/>
              </w:rPr>
              <w:t xml:space="preserve">PV de restitution propriété client </w:t>
            </w:r>
            <w:r w:rsidDel="00000000" w:rsidR="00000000" w:rsidRPr="00000000">
              <w:rPr>
                <w:rtl w:val="0"/>
              </w:rPr>
            </w:r>
          </w:p>
        </w:tc>
      </w:tr>
    </w:tbl>
    <w:p w:rsidR="00000000" w:rsidDel="00000000" w:rsidP="00000000" w:rsidRDefault="00000000" w:rsidRPr="00000000" w14:paraId="0000008F">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6. POINTS DE CONTRÔLE QUALITÉ</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b w:val="1"/>
                <w:bCs w:val="1"/>
                <w:color w:val="ffffff"/>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b w:val="1"/>
                <w:bCs w:val="1"/>
                <w:color w:val="ffffff"/>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1"/>
                <w:bCs w:val="1"/>
                <w:color w:val="ffffff"/>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000000"/>
                <w:rtl w:val="0"/>
              </w:rPr>
              <w:t xml:space="preserve">MFA obligatoire sur tous accès sensibles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rtl w:val="0"/>
              </w:rPr>
              <w:t xml:space="preserve">100% des accès COSAP, GitLab, AWS/Azure, VPN protégés par MFA. Zéro accès non sécurisé.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rtl w:val="0"/>
              </w:rPr>
              <w:t xml:space="preserve">Blocage accès non sécurisé immédiat. NC ouverte. Formation utilisateur.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b w:val="1"/>
                <w:bCs w:val="1"/>
                <w:color w:val="000000"/>
                <w:rtl w:val="0"/>
              </w:rPr>
              <w:t xml:space="preserve">Enregistrement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rtl w:val="0"/>
              </w:rPr>
              <w:t xml:space="preserve">100% des propriétés client enregistrées dans SMQ-FOR-032-A dans les 24h de réception.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rtl w:val="0"/>
              </w:rPr>
              <w:t xml:space="preserve">NC ouverte. Régularisation sous 24h. Alerte BU Leader + HG.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b w:val="1"/>
                <w:bCs w:val="1"/>
                <w:color w:val="000000"/>
                <w:rtl w:val="0"/>
              </w:rPr>
              <w:t xml:space="preserve">Revue trimestrielle des 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rtl w:val="0"/>
              </w:rPr>
              <w:t xml:space="preserve">PV de revue trimestrielle produit dans les 5 jours après fin de chaque 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rtl w:val="0"/>
              </w:rPr>
              <w:t xml:space="preserve">NC ouverte. Revue de rattrapage sous 10 jours supplémentaires.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D">
            <w:pPr>
              <w:rPr/>
            </w:pPr>
            <w:sdt>
              <w:sdtPr>
                <w:id w:val="-754694026"/>
                <w:tag w:val="goog_rdk_1"/>
              </w:sdtPr>
              <w:sdtContent>
                <w:r w:rsidDel="00000000" w:rsidR="00000000" w:rsidRPr="00000000">
                  <w:rPr>
                    <w:rFonts w:ascii="Arial Unicode MS" w:cs="Arial Unicode MS" w:eastAsia="Arial Unicode MS" w:hAnsi="Arial Unicode MS"/>
                    <w:b w:val="1"/>
                    <w:bCs w:val="1"/>
                    <w:color w:val="000000"/>
                    <w:rtl w:val="0"/>
                  </w:rPr>
                  <w:t xml:space="preserve">Révocation départ : délai ≤ 4h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rtl w:val="0"/>
              </w:rPr>
              <w:t xml:space="preserve">100% des accès révoqués dans les 4h suivant notification DRH. Zéro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rtl w:val="0"/>
              </w:rPr>
              <w:t xml:space="preserve">Blocage immédiat + audit des actions effectuées post-notification. NC 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A0">
            <w:pPr>
              <w:rPr/>
            </w:pPr>
            <w:sdt>
              <w:sdtPr>
                <w:id w:val="1304721641"/>
                <w:tag w:val="goog_rdk_2"/>
              </w:sdtPr>
              <w:sdtContent>
                <w:r w:rsidDel="00000000" w:rsidR="00000000" w:rsidRPr="00000000">
                  <w:rPr>
                    <w:rFonts w:ascii="Arial Unicode MS" w:cs="Arial Unicode MS" w:eastAsia="Arial Unicode MS" w:hAnsi="Arial Unicode MS"/>
                    <w:b w:val="1"/>
                    <w:bCs w:val="1"/>
                    <w:color w:val="000000"/>
                    <w:rtl w:val="0"/>
                  </w:rPr>
                  <w:t xml:space="preserve">Signalement anomalie ≤ 1h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rtl w:val="0"/>
              </w:rPr>
              <w:t xml:space="preserve">Tout incident sur propriété client signalé à HG et LK dans l'heure.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rtl w:val="0"/>
              </w:rPr>
              <w:t xml:space="preserve">NC critique. Activation cellule de crise. Notification DG + CNIL si RGPD.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000000"/>
                <w:rtl w:val="0"/>
              </w:rPr>
              <w:t xml:space="preserve">Scan vulnérabilités mensuel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rtl w:val="0"/>
              </w:rPr>
              <w:t xml:space="preserve">Rapport de scan produit et transmis à LK avant le 10 du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Si critique détectée : patch sous 72h. NC si non corrigé.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b w:val="1"/>
                <w:bCs w:val="1"/>
                <w:color w:val="000000"/>
                <w:rtl w:val="0"/>
              </w:rPr>
              <w:t xml:space="preserve">Chiffrement TLS 1.2+ sur toutes connexions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000000"/>
                <w:rtl w:val="0"/>
              </w:rPr>
              <w:t xml:space="preserve">100% des connexions chiffrées. Audit trimestriel des certificats.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rtl w:val="0"/>
              </w:rPr>
              <w:t xml:space="preserve">Remplacement certificat expiré sous 24h. Alerte automatique J-30.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b w:val="1"/>
                <w:bCs w:val="1"/>
                <w:color w:val="000000"/>
                <w:rtl w:val="0"/>
              </w:rPr>
              <w:t xml:space="preserve">Restitution documentée en fin de 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rtl w:val="0"/>
              </w:rPr>
              <w:t xml:space="preserve">PV de restitution signé pour 100% des fins de contrat impliquant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000000"/>
                <w:rtl w:val="0"/>
              </w:rPr>
              <w:t xml:space="preserve">NC. Suspension de la clôture comptable du contrat jusqu'à PV signé.</w:t>
            </w:r>
            <w:r w:rsidDel="00000000" w:rsidR="00000000" w:rsidRPr="00000000">
              <w:rPr>
                <w:rtl w:val="0"/>
              </w:rPr>
            </w:r>
          </w:p>
        </w:tc>
      </w:tr>
    </w:tbl>
    <w:p w:rsidR="00000000" w:rsidDel="00000000" w:rsidP="00000000" w:rsidRDefault="00000000" w:rsidRPr="00000000" w14:paraId="000000AC">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7. ENREGISTREMENTS ET DOCUMENTS ASSOCIÉS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1200"/>
        <w:gridCol w:w="2000"/>
        <w:tblGridChange w:id="0">
          <w:tblGrid>
            <w:gridCol w:w="2000"/>
            <w:gridCol w:w="416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1"/>
                <w:bCs w:val="1"/>
                <w:color w:val="ffffff"/>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b w:val="1"/>
                <w:bCs w:val="1"/>
                <w:color w:val="ffffff"/>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1"/>
                <w:bCs w:val="1"/>
                <w:color w:val="ffffff"/>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color w:val="000000"/>
                <w:rtl w:val="0"/>
              </w:rPr>
              <w:t xml:space="preserve">SMQ-FOR-032-A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rtl w:val="0"/>
              </w:rPr>
              <w:t xml:space="preserve">Registre de propriété client (identification, classification, mesures)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color w:val="000000"/>
                <w:rtl w:val="0"/>
              </w:rPr>
              <w:t xml:space="preserve">3 ans post-contrat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sz w:val="18"/>
                <w:szCs w:val="18"/>
                <w:rtl w:val="0"/>
              </w:rPr>
              <w:t xml:space="preserve">Zone Sécurité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b w:val="1"/>
                <w:bCs w:val="1"/>
                <w:color w:val="000000"/>
                <w:rtl w:val="0"/>
              </w:rPr>
              <w:t xml:space="preserve">SMQ-FOR-032-B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rtl w:val="0"/>
              </w:rPr>
              <w:t xml:space="preserve">Fiche d'incident de sécurité sur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Zone Sécurité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b w:val="1"/>
                <w:bCs w:val="1"/>
                <w:color w:val="000000"/>
                <w:rtl w:val="0"/>
              </w:rPr>
              <w:t xml:space="preserve">SMQ-FOR-032-C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rtl w:val="0"/>
              </w:rPr>
              <w:t xml:space="preserve">PV de revue trimestrielle des habilitations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sz w:val="18"/>
                <w:szCs w:val="18"/>
                <w:rtl w:val="0"/>
              </w:rPr>
              <w:t xml:space="preserve"> Zone SMQ /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b w:val="1"/>
                <w:bCs w:val="1"/>
                <w:color w:val="000000"/>
                <w:rtl w:val="0"/>
              </w:rPr>
              <w:t xml:space="preserve">SMQ-FOR-032-D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rtl w:val="0"/>
              </w:rPr>
              <w:t xml:space="preserve">Rapport mensuel de scan de vulnérabilités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color w:val="000000"/>
                <w:rtl w:val="0"/>
              </w:rPr>
              <w:t xml:space="preserve">2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sz w:val="18"/>
                <w:szCs w:val="18"/>
                <w:rtl w:val="0"/>
              </w:rPr>
              <w:t xml:space="preserve">Zone IT Sécurité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b w:val="1"/>
                <w:bCs w:val="1"/>
                <w:color w:val="000000"/>
                <w:rtl w:val="0"/>
              </w:rPr>
              <w:t xml:space="preserve">SMQ-FOR-032-E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rtl w:val="0"/>
              </w:rPr>
              <w:t xml:space="preserve">PV de restitution de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color w:val="000000"/>
                <w:rtl w:val="0"/>
              </w:rPr>
              <w:t xml:space="preserve">5 ans post-contrat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sz w:val="18"/>
                <w:szCs w:val="18"/>
                <w:rtl w:val="0"/>
              </w:rPr>
              <w:t xml:space="preserve">Zone Juridique / RAF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b w:val="1"/>
                <w:bCs w:val="1"/>
                <w:color w:val="000000"/>
                <w:rtl w:val="0"/>
              </w:rPr>
              <w:t xml:space="preserve">Matrice des habilitations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rtl w:val="0"/>
              </w:rPr>
              <w:t xml:space="preserve">Tableau des accès par rôle et système — mis à jour en continu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color w:val="000000"/>
                <w:rtl w:val="0"/>
              </w:rPr>
              <w:t xml:space="preserve">En continu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sz w:val="18"/>
                <w:szCs w:val="18"/>
                <w:rtl w:val="0"/>
              </w:rPr>
              <w:t xml:space="preserve">COSAP / GitLab — Accès restreint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color w:val="000000"/>
                <w:rtl w:val="0"/>
              </w:rPr>
              <w:t xml:space="preserve">Journal d'audit des connexions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rtl w:val="0"/>
              </w:rPr>
              <w:t xml:space="preserve">Logs AWS CloudTrail, GitLab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color w:val="000000"/>
                <w:rtl w:val="0"/>
              </w:rPr>
              <w:t xml:space="preserve">1 an (légal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sz w:val="18"/>
                <w:szCs w:val="18"/>
                <w:rtl w:val="0"/>
              </w:rPr>
              <w:t xml:space="preserve">AWS S3 chiffré / Azure Log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000000"/>
                <w:rtl w:val="0"/>
              </w:rPr>
              <w:t xml:space="preserve">NDA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rtl w:val="0"/>
              </w:rPr>
              <w:t xml:space="preserve">Accords de confidentialité signés avant accès à propriété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color w:val="000000"/>
                <w:rtl w:val="0"/>
              </w:rPr>
              <w:t xml:space="preserve">Durée contrat + 5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sz w:val="18"/>
                <w:szCs w:val="18"/>
                <w:rtl w:val="0"/>
              </w:rPr>
              <w:t xml:space="preserve"> Zone Juridique / RAF</w:t>
            </w:r>
            <w:r w:rsidDel="00000000" w:rsidR="00000000" w:rsidRPr="00000000">
              <w:rPr>
                <w:rtl w:val="0"/>
              </w:rPr>
            </w:r>
          </w:p>
        </w:tc>
      </w:tr>
    </w:tbl>
    <w:p w:rsidR="00000000" w:rsidDel="00000000" w:rsidP="00000000" w:rsidRDefault="00000000" w:rsidRPr="00000000" w14:paraId="000000D2">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8. TABLEAU DES RÉVISIONS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200"/>
        <w:gridCol w:w="2200"/>
        <w:gridCol w:w="2160"/>
        <w:tblGridChange w:id="0">
          <w:tblGrid>
            <w:gridCol w:w="1200"/>
            <w:gridCol w:w="16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ffffff"/>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ffffff"/>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1"/>
                <w:bCs w:val="1"/>
                <w:color w:val="ffffff"/>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color w:val="000000"/>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color w:val="000000"/>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color w:val="000000"/>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rtl w:val="0"/>
              </w:rPr>
              <w:t xml:space="preserve">Sami Tabbane — 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rtl w:val="0"/>
              </w:rPr>
              <w:t xml:space="preserve">Création initiale</w:t>
            </w:r>
            <w:r w:rsidDel="00000000" w:rsidR="00000000" w:rsidRPr="00000000">
              <w:rPr>
                <w:rtl w:val="0"/>
              </w:rPr>
            </w:r>
          </w:p>
        </w:tc>
      </w:tr>
    </w:tbl>
    <w:p w:rsidR="00000000" w:rsidDel="00000000" w:rsidP="00000000" w:rsidRDefault="00000000" w:rsidRPr="00000000" w14:paraId="000000DE">
      <w:pPr>
        <w:spacing w:before="200" w:lineRule="auto"/>
        <w:jc w:val="center"/>
        <w:rPr/>
      </w:pPr>
      <w:r w:rsidDel="00000000" w:rsidR="00000000" w:rsidRPr="00000000">
        <w:rPr>
          <w:i w:val="1"/>
          <w:iCs w:val="1"/>
          <w:color w:val="777777"/>
          <w:sz w:val="16"/>
          <w:szCs w:val="16"/>
          <w:rtl w:val="0"/>
        </w:rPr>
        <w:t xml:space="preserve">SFM Technologies  ·  SMQ-PRO-032  ·  PS3 / PR1 / PR2 / PR3  ·  §8.5.3 Propriété Client &amp; Sécurité SI  ·  © Mai 2026</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JCK18Of1J4uvHeu9F1CAuyG94g==">CgMxLjAaHQoBMBIYChYIB0ISEhBBcmlhbCBVbmljb2RlIE1TGh0KATESGAoWCAdCEhIQQXJpYWwgVW5pY29kZSBNUxodCgEyEhgKFggHQhISEEFyaWFsIFVuaWNvZGUgTVMyDmguNnBwN3M5M3E4eGwwOAByITFQbUE3VzA3WjVVYVp5ZUNET0ZFeWM0OGt1ZWRSZFJlbA==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