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№0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0"/>
        <w:gridCol w:w="2836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Style16"/>
          <w:bCs w:val="false"/>
          <w:caps/>
        </w:rPr>
      </w:pPr>
      <w:r>
        <w:rPr>
          <w:rStyle w:val="Style16"/>
          <w:bCs w:val="false"/>
          <w:caps/>
        </w:rPr>
        <w:t>Протокол</w:t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 протоколе приводятся результаты измерений, полученные в ходе выполнения экспериментальной части лабораторной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данных, заносимых в протокол, определяется соответствующими методическими указаниями и преподавателем.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Недопустимо заполнение протокола карандашом.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протоколе должна быть подпись студента, выполнившего лабораторную работу (в случае, если работа выполнялась в составе бригады – всех членов бригады) и дата выполнения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 завершении выполнения лабораторной работы протокол подписывается преподавателем.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3</Pages>
  <Words>166</Words>
  <Characters>1272</Characters>
  <CharactersWithSpaces>1414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2022-04-17T18:05:14Z</dcterms:modified>
  <cp:revision>8</cp:revision>
  <dc:subject/>
  <dc:title>ПРОЕКТ ЛЭТИ</dc:title>
</cp:coreProperties>
</file>