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jc w:val="center"/>
        <w:rPr/>
      </w:pPr>
      <w:r>
        <w:rPr>
          <w:rFonts w:eastAsia="Times New Roman" w:cs="Times New Roman" w:ascii="Times New Roman" w:hAnsi="Times New Roman"/>
          <w:b/>
          <w:bCs/>
        </w:rPr>
        <w:t>DANIŞMANLIK VE HİZMET SÖZLEŞMESİ</w:t>
      </w:r>
    </w:p>
    <w:p>
      <w:pPr>
        <w:pStyle w:val="Normal"/>
        <w:numPr>
          <w:ilvl w:val="0"/>
          <w:numId w:val="1"/>
        </w:numPr>
        <w:spacing w:before="0" w:after="120"/>
        <w:jc w:val="both"/>
        <w:rPr>
          <w:rFonts w:ascii="Times New Roman" w:hAnsi="Times New Roman" w:eastAsia="Times New Roman" w:cs="Times New Roman"/>
          <w:b/>
          <w:bCs/>
          <w:color w:val="000000"/>
          <w:u w:val="single"/>
        </w:rPr>
      </w:pPr>
      <w:r>
        <w:rPr>
          <w:rFonts w:eastAsia="Times New Roman" w:cs="Times New Roman" w:ascii="Times New Roman" w:hAnsi="Times New Roman"/>
          <w:b/>
          <w:bCs/>
          <w:color w:val="000000"/>
          <w:u w:val="single"/>
        </w:rPr>
        <w:t>TARAFLAR</w:t>
      </w:r>
    </w:p>
    <w:p>
      <w:pPr>
        <w:pStyle w:val="Normal"/>
        <w:spacing w:before="0" w:after="120"/>
        <w:jc w:val="both"/>
        <w:rPr/>
      </w:pPr>
      <w:r>
        <w:rPr>
          <w:rFonts w:eastAsia="Times New Roman" w:cs="Times New Roman" w:ascii="Times New Roman" w:hAnsi="Times New Roman"/>
        </w:rPr>
        <w:t xml:space="preserve">İşbu sözleşme aşağıdaki kişiler arasında akdedilmiştir. </w:t>
      </w:r>
    </w:p>
    <w:p>
      <w:pPr>
        <w:pStyle w:val="Normal"/>
        <w:spacing w:before="0" w:after="120"/>
        <w:ind w:hanging="705" w:start="705"/>
        <w:jc w:val="both"/>
        <w:rPr>
          <w:rFonts w:ascii="Times New Roman" w:hAnsi="Times New Roman" w:eastAsia="Times New Roman" w:cs="Times New Roman"/>
        </w:rPr>
      </w:pPr>
      <w:r>
        <w:rPr>
          <w:rFonts w:eastAsia="Times New Roman" w:cs="Times New Roman" w:ascii="Times New Roman" w:hAnsi="Times New Roman"/>
        </w:rPr>
        <w:t>1.1.  [[party1_name]] (Danışman)</w:t>
      </w:r>
    </w:p>
    <w:p>
      <w:pPr>
        <w:pStyle w:val="Normal"/>
        <w:spacing w:before="0" w:after="120"/>
        <w:ind w:firstLine="705"/>
        <w:jc w:val="both"/>
        <w:rPr>
          <w:rFonts w:ascii="Times New Roman" w:hAnsi="Times New Roman" w:eastAsia="Times New Roman" w:cs="Times New Roman"/>
        </w:rPr>
      </w:pPr>
      <w:r>
        <w:rPr>
          <w:rFonts w:eastAsia="Times New Roman" w:cs="Times New Roman" w:ascii="Times New Roman" w:hAnsi="Times New Roman"/>
        </w:rPr>
        <w:t>[[party1_tax_office]] / [[party1_tax_no]]</w:t>
      </w:r>
    </w:p>
    <w:p>
      <w:pPr>
        <w:pStyle w:val="Normal"/>
        <w:spacing w:before="0" w:after="120"/>
        <w:ind w:firstLine="705"/>
        <w:jc w:val="both"/>
        <w:rPr>
          <w:rFonts w:ascii="Times New Roman" w:hAnsi="Times New Roman" w:eastAsia="Times New Roman" w:cs="Times New Roman"/>
        </w:rPr>
      </w:pPr>
      <w:r>
        <w:rPr>
          <w:rFonts w:eastAsia="Times New Roman" w:cs="Times New Roman" w:ascii="Times New Roman" w:hAnsi="Times New Roman"/>
        </w:rPr>
        <w:t>[[party1_address]]</w:t>
      </w:r>
    </w:p>
    <w:p>
      <w:pPr>
        <w:pStyle w:val="Normal"/>
        <w:spacing w:before="0" w:after="120"/>
        <w:ind w:hanging="705" w:start="705"/>
        <w:jc w:val="both"/>
        <w:rPr>
          <w:rFonts w:ascii="Times New Roman" w:hAnsi="Times New Roman" w:eastAsia="Times New Roman" w:cs="Times New Roman"/>
        </w:rPr>
      </w:pPr>
      <w:r>
        <w:rPr>
          <w:rFonts w:eastAsia="Times New Roman" w:cs="Times New Roman" w:ascii="Times New Roman" w:hAnsi="Times New Roman"/>
        </w:rPr>
        <w:t>1.2. [[party2_name]] (Danışman)</w:t>
      </w:r>
    </w:p>
    <w:p>
      <w:pPr>
        <w:pStyle w:val="Normal"/>
        <w:spacing w:before="0" w:after="120"/>
        <w:ind w:firstLine="705"/>
        <w:jc w:val="both"/>
        <w:rPr>
          <w:rFonts w:ascii="Times New Roman" w:hAnsi="Times New Roman" w:eastAsia="Times New Roman" w:cs="Times New Roman"/>
        </w:rPr>
      </w:pPr>
      <w:r>
        <w:rPr>
          <w:rFonts w:eastAsia="Times New Roman" w:cs="Times New Roman" w:ascii="Times New Roman" w:hAnsi="Times New Roman"/>
        </w:rPr>
        <w:t>[[party2_tax_office]] / [[party2_tax_no]]</w:t>
      </w:r>
    </w:p>
    <w:p>
      <w:pPr>
        <w:pStyle w:val="Normal"/>
        <w:spacing w:before="0" w:after="120"/>
        <w:ind w:firstLine="705"/>
        <w:jc w:val="both"/>
        <w:rPr>
          <w:rFonts w:ascii="Times New Roman" w:hAnsi="Times New Roman" w:eastAsia="Times New Roman" w:cs="Times New Roman"/>
        </w:rPr>
      </w:pPr>
      <w:r>
        <w:rPr>
          <w:rFonts w:eastAsia="Times New Roman" w:cs="Times New Roman" w:ascii="Times New Roman" w:hAnsi="Times New Roman"/>
        </w:rPr>
        <w:t>[[party2_address]]</w:t>
      </w:r>
    </w:p>
    <w:p>
      <w:pPr>
        <w:pStyle w:val="Normal"/>
        <w:spacing w:before="0" w:after="120"/>
        <w:jc w:val="both"/>
        <w:rPr>
          <w:rFonts w:ascii="Times New Roman" w:hAnsi="Times New Roman" w:eastAsia="Times New Roman" w:cs="Times New Roman"/>
        </w:rPr>
      </w:pPr>
      <w:r>
        <w:rPr>
          <w:rFonts w:eastAsia="Times New Roman" w:cs="Times New Roman" w:ascii="Times New Roman" w:hAnsi="Times New Roman"/>
        </w:rPr>
      </w:r>
    </w:p>
    <w:p>
      <w:pPr>
        <w:pStyle w:val="Normal"/>
        <w:spacing w:before="0" w:after="120"/>
        <w:jc w:val="both"/>
        <w:rPr>
          <w:rFonts w:ascii="Times New Roman" w:hAnsi="Times New Roman" w:eastAsia="Times New Roman" w:cs="Times New Roman"/>
        </w:rPr>
      </w:pPr>
      <w:r>
        <w:rPr>
          <w:rFonts w:eastAsia="Times New Roman" w:cs="Times New Roman" w:ascii="Times New Roman" w:hAnsi="Times New Roman"/>
        </w:rPr>
        <w:t>Taraflar “</w:t>
      </w:r>
      <w:r>
        <w:rPr>
          <w:rFonts w:eastAsia="Times New Roman" w:cs="Times New Roman" w:ascii="Times New Roman" w:hAnsi="Times New Roman"/>
          <w:b/>
          <w:bCs/>
        </w:rPr>
        <w:t>Sun Proje Tercüme Danışmanlık Eğitim İthalat İhracat ve San. Tic. Ltd. Şti.</w:t>
      </w:r>
      <w:r>
        <w:rPr>
          <w:rFonts w:eastAsia="Times New Roman" w:cs="Times New Roman" w:ascii="Times New Roman" w:hAnsi="Times New Roman"/>
        </w:rPr>
        <w:t>” ile “</w:t>
      </w:r>
      <w:r>
        <w:rPr>
          <w:rFonts w:eastAsia="Times New Roman" w:cs="Times New Roman" w:ascii="Times New Roman" w:hAnsi="Times New Roman"/>
          <w:b/>
          <w:bCs/>
        </w:rPr>
        <w:t>Sun ve Sun Danışmanlık Bilişim San. ve Tic. A.Ş.</w:t>
      </w:r>
      <w:r>
        <w:rPr>
          <w:rFonts w:eastAsia="Times New Roman" w:cs="Times New Roman" w:ascii="Times New Roman" w:hAnsi="Times New Roman"/>
        </w:rPr>
        <w:t>”’nin Analiz Kariyer Danışmanlık Eğitim Özel İstihdam ve İnsan Kaynakları Turizm Bilişim Yazılım Tic. Ltd. Şti. firması ile grup şirket olduklarını bundan sonra Sun Grup olarak anılacaklarını kabul, beyan ve taahhüt etmektedirler.</w:t>
      </w:r>
    </w:p>
    <w:p>
      <w:pPr>
        <w:pStyle w:val="Normal"/>
        <w:spacing w:before="0" w:after="120"/>
        <w:jc w:val="both"/>
        <w:rPr/>
      </w:pPr>
      <w:r>
        <w:rPr/>
      </w:r>
    </w:p>
    <w:p>
      <w:pPr>
        <w:pStyle w:val="Normal"/>
        <w:numPr>
          <w:ilvl w:val="0"/>
          <w:numId w:val="1"/>
        </w:numPr>
        <w:spacing w:before="0" w:after="120"/>
        <w:jc w:val="both"/>
        <w:rPr>
          <w:rFonts w:ascii="Times New Roman" w:hAnsi="Times New Roman" w:eastAsia="Times New Roman" w:cs="Times New Roman"/>
          <w:b/>
          <w:bCs/>
          <w:color w:val="000000"/>
          <w:u w:val="single"/>
        </w:rPr>
      </w:pPr>
      <w:r>
        <w:rPr>
          <w:rFonts w:eastAsia="Times New Roman" w:cs="Times New Roman" w:ascii="Times New Roman" w:hAnsi="Times New Roman"/>
          <w:b/>
          <w:bCs/>
          <w:color w:val="000000"/>
          <w:u w:val="single"/>
        </w:rPr>
        <w:t>KONU</w:t>
      </w:r>
    </w:p>
    <w:p>
      <w:pPr>
        <w:pStyle w:val="Normal"/>
        <w:spacing w:before="0" w:after="120"/>
        <w:jc w:val="both"/>
        <w:rPr>
          <w:rFonts w:ascii="Times New Roman" w:hAnsi="Times New Roman" w:eastAsia="Times New Roman" w:cs="Times New Roman"/>
        </w:rPr>
      </w:pPr>
      <w:r>
        <w:rPr>
          <w:rFonts w:eastAsia="Times New Roman" w:cs="Times New Roman" w:ascii="Times New Roman" w:hAnsi="Times New Roman"/>
        </w:rPr>
        <w:t>İşbu sözleşme, Müşteri’nin faaliyet alanına göre kamu kurum ve/veya kuruluşları tarafından sağlanabilecek hibe, kredi, destek ve teşvikler (</w:t>
      </w:r>
      <w:r>
        <w:rPr>
          <w:rFonts w:eastAsia="Times New Roman" w:cs="Times New Roman" w:ascii="Times New Roman" w:hAnsi="Times New Roman"/>
          <w:i/>
          <w:iCs/>
        </w:rPr>
        <w:t>Bundan sonra hepsi birlikte ‘‘destek’’ olarak anılacaktır.</w:t>
      </w:r>
      <w:r>
        <w:rPr>
          <w:rFonts w:eastAsia="Times New Roman" w:cs="Times New Roman" w:ascii="Times New Roman" w:hAnsi="Times New Roman"/>
        </w:rPr>
        <w:t xml:space="preserve">) Danışman tarafından takip edilmesi, proje hazırlık ve başvuru süreçlerinin yürütümü ve onaylanan destekler içerisinde yer alan hizmet alım işlerinin Danışman veya Danışman’ ın yönlendirdiği firmalar tarafından yerine getirilmesi hususunda akdedilmiştir. </w:t>
      </w:r>
    </w:p>
    <w:p>
      <w:pPr>
        <w:pStyle w:val="Normal"/>
        <w:spacing w:before="0" w:after="120"/>
        <w:jc w:val="both"/>
        <w:rPr/>
      </w:pPr>
      <w:r>
        <w:rPr/>
      </w:r>
    </w:p>
    <w:p>
      <w:pPr>
        <w:pStyle w:val="Normal"/>
        <w:numPr>
          <w:ilvl w:val="0"/>
          <w:numId w:val="1"/>
        </w:numPr>
        <w:spacing w:before="0" w:after="120"/>
        <w:jc w:val="both"/>
        <w:rPr>
          <w:rFonts w:ascii="Times New Roman" w:hAnsi="Times New Roman" w:eastAsia="Times New Roman" w:cs="Times New Roman"/>
          <w:b/>
          <w:bCs/>
          <w:color w:val="000000"/>
          <w:u w:val="single"/>
        </w:rPr>
      </w:pPr>
      <w:r>
        <w:rPr>
          <w:rFonts w:eastAsia="Times New Roman" w:cs="Times New Roman" w:ascii="Times New Roman" w:hAnsi="Times New Roman"/>
          <w:b/>
          <w:bCs/>
          <w:color w:val="000000"/>
          <w:u w:val="single"/>
        </w:rPr>
        <w:t>DANIŞMAN’IN YÜKÜMLÜLÜKLERİ</w:t>
      </w:r>
    </w:p>
    <w:p>
      <w:pPr>
        <w:pStyle w:val="Normal"/>
        <w:spacing w:before="0" w:after="120"/>
        <w:ind w:start="720"/>
        <w:jc w:val="both"/>
        <w:rPr>
          <w:rFonts w:ascii="Times New Roman" w:hAnsi="Times New Roman" w:eastAsia="Times New Roman" w:cs="Times New Roman"/>
          <w:b/>
          <w:bCs/>
          <w:u w:val="single"/>
        </w:rPr>
      </w:pPr>
      <w:r>
        <w:rPr>
          <w:rFonts w:eastAsia="Times New Roman" w:cs="Times New Roman" w:ascii="Times New Roman" w:hAnsi="Times New Roman"/>
          <w:b/>
          <w:bCs/>
          <w:u w:val="single"/>
        </w:rPr>
        <w:t>3.1. Takip &amp; Proje Başvurusu</w:t>
      </w:r>
    </w:p>
    <w:p>
      <w:pPr>
        <w:pStyle w:val="Normal"/>
        <w:spacing w:lineRule="auto" w:line="257" w:before="0" w:after="120"/>
        <w:jc w:val="both"/>
        <w:rPr/>
      </w:pPr>
      <w:r>
        <w:rPr>
          <w:rFonts w:eastAsia="Times New Roman" w:cs="Times New Roman" w:ascii="Times New Roman" w:hAnsi="Times New Roman"/>
        </w:rPr>
        <w:t xml:space="preserve">İşbu sözleşme kapsamında Müşteri’ nin faaliyet alanına göre Danışman tarafından; </w:t>
      </w:r>
    </w:p>
    <w:p>
      <w:pPr>
        <w:pStyle w:val="Normal"/>
        <w:numPr>
          <w:ilvl w:val="0"/>
          <w:numId w:val="3"/>
        </w:numPr>
        <w:spacing w:before="0" w:after="120"/>
        <w:jc w:val="both"/>
        <w:rPr>
          <w:rFonts w:ascii="Times New Roman" w:hAnsi="Times New Roman" w:eastAsia="Times New Roman" w:cs="Times New Roman"/>
          <w:color w:val="000000"/>
        </w:rPr>
      </w:pPr>
      <w:r>
        <w:rPr>
          <w:rFonts w:eastAsia="Times New Roman" w:cs="Times New Roman" w:ascii="Times New Roman" w:hAnsi="Times New Roman"/>
          <w:color w:val="000000"/>
        </w:rPr>
        <w:t>KOSGEB,</w:t>
      </w:r>
    </w:p>
    <w:p>
      <w:pPr>
        <w:pStyle w:val="Normal"/>
        <w:numPr>
          <w:ilvl w:val="0"/>
          <w:numId w:val="3"/>
        </w:numPr>
        <w:spacing w:before="0" w:after="120"/>
        <w:jc w:val="both"/>
        <w:rPr>
          <w:rFonts w:ascii="Times New Roman" w:hAnsi="Times New Roman" w:eastAsia="Times New Roman" w:cs="Times New Roman"/>
          <w:color w:val="000000"/>
        </w:rPr>
      </w:pPr>
      <w:r>
        <w:rPr>
          <w:rFonts w:eastAsia="Times New Roman" w:cs="Times New Roman" w:ascii="Times New Roman" w:hAnsi="Times New Roman"/>
          <w:color w:val="000000"/>
        </w:rPr>
        <w:t>TÜBİTAK,</w:t>
      </w:r>
    </w:p>
    <w:p>
      <w:pPr>
        <w:pStyle w:val="Normal"/>
        <w:numPr>
          <w:ilvl w:val="0"/>
          <w:numId w:val="3"/>
        </w:numPr>
        <w:spacing w:before="0" w:after="120"/>
        <w:jc w:val="both"/>
        <w:rPr>
          <w:rFonts w:ascii="Times New Roman" w:hAnsi="Times New Roman" w:eastAsia="Times New Roman" w:cs="Times New Roman"/>
          <w:color w:val="000000"/>
        </w:rPr>
      </w:pPr>
      <w:r>
        <w:rPr>
          <w:rFonts w:eastAsia="Times New Roman" w:cs="Times New Roman" w:ascii="Times New Roman" w:hAnsi="Times New Roman"/>
          <w:color w:val="000000"/>
        </w:rPr>
        <w:t>Ticaret Bakanlığı,</w:t>
      </w:r>
    </w:p>
    <w:p>
      <w:pPr>
        <w:pStyle w:val="Normal"/>
        <w:numPr>
          <w:ilvl w:val="0"/>
          <w:numId w:val="3"/>
        </w:numPr>
        <w:spacing w:before="0" w:after="120"/>
        <w:jc w:val="both"/>
        <w:rPr>
          <w:rFonts w:ascii="Times New Roman" w:hAnsi="Times New Roman" w:eastAsia="Times New Roman" w:cs="Times New Roman"/>
          <w:color w:val="000000"/>
        </w:rPr>
      </w:pPr>
      <w:r>
        <w:rPr>
          <w:rFonts w:eastAsia="Times New Roman" w:cs="Times New Roman" w:ascii="Times New Roman" w:hAnsi="Times New Roman"/>
          <w:color w:val="000000"/>
        </w:rPr>
        <w:t>Sanayi ve Teknoloji Bakanlığı,</w:t>
      </w:r>
    </w:p>
    <w:p>
      <w:pPr>
        <w:pStyle w:val="Normal"/>
        <w:numPr>
          <w:ilvl w:val="0"/>
          <w:numId w:val="3"/>
        </w:numPr>
        <w:spacing w:before="0" w:after="120"/>
        <w:jc w:val="both"/>
        <w:rPr>
          <w:rFonts w:ascii="Times New Roman" w:hAnsi="Times New Roman" w:eastAsia="Times New Roman" w:cs="Times New Roman"/>
          <w:color w:val="000000"/>
        </w:rPr>
      </w:pPr>
      <w:r>
        <w:rPr>
          <w:rFonts w:eastAsia="Times New Roman" w:cs="Times New Roman" w:ascii="Times New Roman" w:hAnsi="Times New Roman"/>
          <w:color w:val="000000"/>
        </w:rPr>
        <w:t>Avrupa Birliği,</w:t>
      </w:r>
    </w:p>
    <w:p>
      <w:pPr>
        <w:pStyle w:val="Normal"/>
        <w:numPr>
          <w:ilvl w:val="0"/>
          <w:numId w:val="3"/>
        </w:numPr>
        <w:spacing w:before="0" w:after="120"/>
        <w:jc w:val="both"/>
        <w:rPr>
          <w:rFonts w:ascii="Times New Roman" w:hAnsi="Times New Roman" w:eastAsia="Times New Roman" w:cs="Times New Roman"/>
          <w:color w:val="000000"/>
        </w:rPr>
      </w:pPr>
      <w:r>
        <w:rPr>
          <w:rFonts w:eastAsia="Times New Roman" w:cs="Times New Roman" w:ascii="Times New Roman" w:hAnsi="Times New Roman"/>
          <w:color w:val="000000"/>
        </w:rPr>
        <w:t>Uluslararası Çalışma Örgütü (İLO),</w:t>
      </w:r>
    </w:p>
    <w:p>
      <w:pPr>
        <w:pStyle w:val="Normal"/>
        <w:numPr>
          <w:ilvl w:val="0"/>
          <w:numId w:val="3"/>
        </w:numPr>
        <w:spacing w:before="0" w:after="120"/>
        <w:jc w:val="both"/>
        <w:rPr>
          <w:rFonts w:ascii="Times New Roman" w:hAnsi="Times New Roman" w:eastAsia="Times New Roman" w:cs="Times New Roman"/>
          <w:color w:val="000000"/>
        </w:rPr>
      </w:pPr>
      <w:r>
        <w:rPr>
          <w:rFonts w:eastAsia="Times New Roman" w:cs="Times New Roman" w:ascii="Times New Roman" w:hAnsi="Times New Roman"/>
          <w:color w:val="000000"/>
        </w:rPr>
        <w:t>Birleşmiş Milletler,</w:t>
      </w:r>
    </w:p>
    <w:p>
      <w:pPr>
        <w:pStyle w:val="Normal"/>
        <w:numPr>
          <w:ilvl w:val="0"/>
          <w:numId w:val="3"/>
        </w:numPr>
        <w:spacing w:before="0" w:after="120"/>
        <w:jc w:val="both"/>
        <w:rPr>
          <w:rFonts w:ascii="Times New Roman" w:hAnsi="Times New Roman" w:eastAsia="Times New Roman" w:cs="Times New Roman"/>
          <w:color w:val="000000"/>
        </w:rPr>
      </w:pPr>
      <w:r>
        <w:rPr>
          <w:rFonts w:eastAsia="Times New Roman" w:cs="Times New Roman" w:ascii="Times New Roman" w:hAnsi="Times New Roman"/>
          <w:color w:val="000000"/>
        </w:rPr>
        <w:t xml:space="preserve">Bölgesel Kalkınma Ajansları ve bunlarla sınırlı olmaksızın destek sağlayan diğer tüm kamu ve özel kurum ve kuruluşların destekleri takip edilecektir. Tespit edilen desteklere Müşteri’ nin onayı ile birlikte başvuru süreçleri yürütülecektir. </w:t>
      </w:r>
    </w:p>
    <w:p>
      <w:pPr>
        <w:pStyle w:val="Normal"/>
        <w:spacing w:before="0" w:after="120"/>
        <w:jc w:val="both"/>
        <w:rPr/>
      </w:pPr>
      <w:r>
        <w:rPr>
          <w:rFonts w:eastAsia="Times New Roman" w:cs="Times New Roman" w:ascii="Times New Roman" w:hAnsi="Times New Roman"/>
        </w:rPr>
        <w:t xml:space="preserve">TUBİTAK 1501-1507 AR-GE Programları, KOSGEB AR-GE ÜR-GE İnovasyon Destek Programları ve TKDK İPARD Programlarına başvuru süreçleri iş bu sözleşme kapsamında değildir. Müşteri’ nin talep etmesi durumunda bu programlara başvurular ayrıca fiyatlandırılacaktır. </w:t>
      </w:r>
    </w:p>
    <w:p>
      <w:pPr>
        <w:pStyle w:val="Normal"/>
        <w:spacing w:before="0" w:after="120"/>
        <w:jc w:val="both"/>
        <w:rPr>
          <w:rFonts w:ascii="Times New Roman" w:hAnsi="Times New Roman" w:eastAsia="Times New Roman" w:cs="Times New Roman"/>
          <w:b/>
          <w:bCs/>
          <w:u w:val="single"/>
        </w:rPr>
      </w:pPr>
      <w:r>
        <w:rPr>
          <w:rFonts w:eastAsia="Times New Roman" w:cs="Times New Roman" w:ascii="Times New Roman" w:hAnsi="Times New Roman"/>
        </w:rPr>
        <w:t xml:space="preserve"> </w:t>
      </w:r>
      <w:r>
        <w:rPr>
          <w:rFonts w:eastAsia="Times New Roman" w:cs="Times New Roman" w:ascii="Times New Roman" w:hAnsi="Times New Roman"/>
          <w:b/>
          <w:bCs/>
          <w:u w:val="single"/>
        </w:rPr>
        <w:t>3.2. Onaylanan Projede Yer Alan Hizmet Alım İşleri</w:t>
      </w:r>
    </w:p>
    <w:p>
      <w:pPr>
        <w:pStyle w:val="Normal"/>
        <w:spacing w:before="0" w:after="120"/>
        <w:jc w:val="both"/>
        <w:rPr>
          <w:rFonts w:ascii="Times New Roman" w:hAnsi="Times New Roman" w:eastAsia="Times New Roman" w:cs="Times New Roman"/>
        </w:rPr>
      </w:pPr>
      <w:r>
        <w:rPr>
          <w:rFonts w:eastAsia="Times New Roman" w:cs="Times New Roman" w:ascii="Times New Roman" w:hAnsi="Times New Roman"/>
        </w:rPr>
        <w:t xml:space="preserve">Taraflar, Danışman tarafından tespit ve başvuru süreçleri yürütülen projelerin onaylanması durumunda onaylanan proje kapsamında desteklenen hizmet alım işlerinin Danışman veya Danışman’ ın yönlendireceği firmalar tarafından yapılacağı hususunda mutabıklardır. </w:t>
      </w:r>
    </w:p>
    <w:p>
      <w:pPr>
        <w:pStyle w:val="Normal"/>
        <w:spacing w:before="0" w:after="120"/>
        <w:jc w:val="both"/>
        <w:rPr/>
      </w:pPr>
      <w:r>
        <w:rPr/>
      </w:r>
    </w:p>
    <w:p>
      <w:pPr>
        <w:pStyle w:val="Normal"/>
        <w:numPr>
          <w:ilvl w:val="0"/>
          <w:numId w:val="1"/>
        </w:numPr>
        <w:spacing w:before="0" w:after="120"/>
        <w:jc w:val="both"/>
        <w:rPr>
          <w:rFonts w:ascii="Times New Roman" w:hAnsi="Times New Roman" w:eastAsia="Times New Roman" w:cs="Times New Roman"/>
          <w:b/>
          <w:bCs/>
          <w:color w:val="000000"/>
          <w:u w:val="single"/>
        </w:rPr>
      </w:pPr>
      <w:r>
        <w:rPr>
          <w:rFonts w:eastAsia="Times New Roman" w:cs="Times New Roman" w:ascii="Times New Roman" w:hAnsi="Times New Roman"/>
          <w:b/>
          <w:bCs/>
          <w:color w:val="000000"/>
          <w:u w:val="single"/>
        </w:rPr>
        <w:t>GENEL YÜKÜMLÜLÜKLER</w:t>
      </w:r>
    </w:p>
    <w:p>
      <w:pPr>
        <w:pStyle w:val="Normal"/>
        <w:numPr>
          <w:ilvl w:val="1"/>
          <w:numId w:val="4"/>
        </w:numPr>
        <w:spacing w:before="0" w:after="120"/>
        <w:ind w:hanging="360" w:start="643"/>
        <w:jc w:val="both"/>
        <w:rPr>
          <w:rFonts w:ascii="Times New Roman" w:hAnsi="Times New Roman" w:eastAsia="Times New Roman" w:cs="Times New Roman"/>
          <w:color w:val="000000"/>
        </w:rPr>
      </w:pPr>
      <w:r>
        <w:rPr>
          <w:rFonts w:eastAsia="Times New Roman" w:cs="Times New Roman" w:ascii="Times New Roman" w:hAnsi="Times New Roman"/>
          <w:color w:val="000000"/>
        </w:rPr>
        <w:t>Müşteri, işbu sözleşme kapsamındaki danışmanlık hizmetleri için işbu sözleşmenin yürürlük süresi boyunca başka kişilerle anlaşma yapmayacağını/çalışmayacağını, sözleşme konusu işlerin münhasıran Danışman tarafından yürütüleceğini kabul, beyan ve taahhüt etmektedir.</w:t>
      </w:r>
    </w:p>
    <w:p>
      <w:pPr>
        <w:pStyle w:val="Normal"/>
        <w:numPr>
          <w:ilvl w:val="1"/>
          <w:numId w:val="4"/>
        </w:numPr>
        <w:spacing w:before="0" w:after="120"/>
        <w:ind w:hanging="360" w:start="643"/>
        <w:jc w:val="both"/>
        <w:rPr>
          <w:rFonts w:ascii="Times New Roman" w:hAnsi="Times New Roman" w:eastAsia="Times New Roman" w:cs="Times New Roman"/>
          <w:color w:val="000000"/>
        </w:rPr>
      </w:pPr>
      <w:r>
        <w:rPr>
          <w:rFonts w:eastAsia="Times New Roman" w:cs="Times New Roman" w:ascii="Times New Roman" w:hAnsi="Times New Roman"/>
          <w:color w:val="000000"/>
        </w:rPr>
        <w:t>Danışman tarafından, başvuru yapılması hususunda mutabık kalınan projenin mantıksal çerçevesinin oluşturulması, projenin faydalanıcı niceliklerinin, niteliklerinin, risk tanımlarının ve bütçesinin belirlenmesi, projeye dair dokümanların başvuru formatına uygun şekilde teklif olarak sunulacak hale getirilmesi ve neticeten onaylanan projelerin yürütülmesi için gerekli bilgi desteğini vermek huşularında danışmanlık hizmeti verilecektir.</w:t>
      </w:r>
    </w:p>
    <w:p>
      <w:pPr>
        <w:pStyle w:val="Normal"/>
        <w:numPr>
          <w:ilvl w:val="1"/>
          <w:numId w:val="4"/>
        </w:numPr>
        <w:spacing w:before="0" w:after="120"/>
        <w:ind w:hanging="360" w:start="643"/>
        <w:jc w:val="both"/>
        <w:rPr>
          <w:rFonts w:ascii="Times New Roman" w:hAnsi="Times New Roman" w:eastAsia="Times New Roman" w:cs="Times New Roman"/>
          <w:color w:val="000000"/>
        </w:rPr>
      </w:pPr>
      <w:r>
        <w:rPr>
          <w:rFonts w:eastAsia="Times New Roman" w:cs="Times New Roman" w:ascii="Times New Roman" w:hAnsi="Times New Roman"/>
          <w:color w:val="000000"/>
        </w:rPr>
        <w:t xml:space="preserve">Proje hazırlandığında başvuru öncesinde Danışman tarafından Müşteri’ den onay alınmadan başvuru süreci gerçekleştirilmeyecektir. Müşteri’ nin onay vermemesi veya onayının gecikmesinden Danışman hiçbir surette sorumlu tutulamayacaktır.   </w:t>
      </w:r>
    </w:p>
    <w:p>
      <w:pPr>
        <w:pStyle w:val="Normal"/>
        <w:numPr>
          <w:ilvl w:val="1"/>
          <w:numId w:val="4"/>
        </w:numPr>
        <w:spacing w:before="0" w:after="120"/>
        <w:ind w:hanging="360" w:start="643"/>
        <w:jc w:val="both"/>
        <w:rPr>
          <w:rFonts w:ascii="Times New Roman" w:hAnsi="Times New Roman" w:eastAsia="Times New Roman" w:cs="Times New Roman"/>
          <w:color w:val="000000"/>
        </w:rPr>
      </w:pPr>
      <w:r>
        <w:rPr>
          <w:rFonts w:eastAsia="Times New Roman" w:cs="Times New Roman" w:ascii="Times New Roman" w:hAnsi="Times New Roman"/>
          <w:color w:val="000000"/>
        </w:rPr>
        <w:t xml:space="preserve">Proje başvurularının elektronik sistemler üzerinden ilgili makama teslimi için gerekli e-devlet, kurum şifreleri vs. bilgilerin Danışman ile paylaşılması durumunda Danışman projenin elektronik sistem üzerinden teslimini gerçekleştirecektir. Aksi takdirde proje başvuru evraklarının ilgili makama teslimi Müşteri'nin sorumluluğunda olup Danışman bu süreçte Müşteri’ ye destek verecektir. </w:t>
      </w:r>
    </w:p>
    <w:p>
      <w:pPr>
        <w:pStyle w:val="Normal"/>
        <w:numPr>
          <w:ilvl w:val="1"/>
          <w:numId w:val="4"/>
        </w:numPr>
        <w:spacing w:before="0" w:after="120"/>
        <w:ind w:hanging="360" w:start="643"/>
        <w:jc w:val="both"/>
        <w:rPr>
          <w:rFonts w:ascii="Times New Roman" w:hAnsi="Times New Roman" w:eastAsia="Times New Roman" w:cs="Times New Roman"/>
          <w:color w:val="000000"/>
        </w:rPr>
      </w:pPr>
      <w:r>
        <w:rPr>
          <w:rFonts w:eastAsia="Times New Roman" w:cs="Times New Roman" w:ascii="Times New Roman" w:hAnsi="Times New Roman"/>
          <w:color w:val="000000"/>
        </w:rPr>
        <w:t>Danışman, danışmanlık çalışmalarını yazılı, sözlü, şifai, teknik ve teknolojik aletleri kullanarak, e-maille, faksla, telefonla, Müşteri'nin ofisinde, kendi ofisinde veya herhangi bir yerde yürütebilir.</w:t>
      </w:r>
    </w:p>
    <w:p>
      <w:pPr>
        <w:pStyle w:val="Normal"/>
        <w:numPr>
          <w:ilvl w:val="1"/>
          <w:numId w:val="4"/>
        </w:numPr>
        <w:spacing w:before="0" w:after="120"/>
        <w:ind w:hanging="360" w:start="643"/>
        <w:jc w:val="both"/>
        <w:rPr>
          <w:rFonts w:ascii="Times New Roman" w:hAnsi="Times New Roman" w:eastAsia="Times New Roman" w:cs="Times New Roman"/>
          <w:color w:val="000000"/>
        </w:rPr>
      </w:pPr>
      <w:r>
        <w:rPr>
          <w:rFonts w:eastAsia="Times New Roman" w:cs="Times New Roman" w:ascii="Times New Roman" w:hAnsi="Times New Roman"/>
          <w:color w:val="000000"/>
        </w:rPr>
        <w:t xml:space="preserve">Danışman, daima Müşteri’nin menfaatleri gözeterek hareket edecek olup başta Müşteri’nin ticari itibarını zedeleyecek olmak üzere Müşteri aleyhine olabilecek tüm davranışlardan kaçınacaktır. </w:t>
      </w:r>
    </w:p>
    <w:p>
      <w:pPr>
        <w:pStyle w:val="Normal"/>
        <w:numPr>
          <w:ilvl w:val="1"/>
          <w:numId w:val="4"/>
        </w:numPr>
        <w:spacing w:before="0" w:after="120"/>
        <w:ind w:hanging="360" w:start="643"/>
        <w:jc w:val="both"/>
        <w:rPr>
          <w:rFonts w:ascii="Times New Roman" w:hAnsi="Times New Roman" w:eastAsia="Times New Roman" w:cs="Times New Roman"/>
          <w:color w:val="000000"/>
        </w:rPr>
      </w:pPr>
      <w:r>
        <w:rPr>
          <w:rFonts w:eastAsia="Times New Roman" w:cs="Times New Roman" w:ascii="Times New Roman" w:hAnsi="Times New Roman"/>
          <w:color w:val="000000"/>
        </w:rPr>
        <w:t xml:space="preserve">Danışman sözleşme konusu işi yürütürken kendisinin ve personellerinin özenle çalışacağını kabul, beyan ve taahhüt eder.   </w:t>
      </w:r>
    </w:p>
    <w:p>
      <w:pPr>
        <w:pStyle w:val="Normal"/>
        <w:numPr>
          <w:ilvl w:val="1"/>
          <w:numId w:val="4"/>
        </w:numPr>
        <w:spacing w:before="0" w:after="120"/>
        <w:ind w:hanging="360" w:start="643"/>
        <w:jc w:val="both"/>
        <w:rPr>
          <w:rFonts w:ascii="Times New Roman" w:hAnsi="Times New Roman" w:eastAsia="Times New Roman" w:cs="Times New Roman"/>
          <w:color w:val="000000"/>
        </w:rPr>
      </w:pPr>
      <w:r>
        <w:rPr>
          <w:rFonts w:eastAsia="Times New Roman" w:cs="Times New Roman" w:ascii="Times New Roman" w:hAnsi="Times New Roman"/>
          <w:color w:val="000000"/>
        </w:rPr>
        <w:t>Danışman sözleşme konusu işi Sun Grup firmalarınca yürütecektir. Ancak gerekmesi durumunda işin tamamını veya bir kısmını üçüncü kişi veya kurumlara yaptırabilecektir. Müşteri bu durumu peşinen kabul etmiştir. Danışman bu kişilerin sözleşme konusu hizmeti ayıplı ifa etmelerinden dolayı sorumlu olduğunu kabul, beyan ve taahhüt etmektedir.</w:t>
      </w:r>
    </w:p>
    <w:p>
      <w:pPr>
        <w:pStyle w:val="Normal"/>
        <w:numPr>
          <w:ilvl w:val="1"/>
          <w:numId w:val="4"/>
        </w:numPr>
        <w:spacing w:before="0" w:after="120"/>
        <w:ind w:hanging="360" w:start="643"/>
        <w:jc w:val="both"/>
        <w:rPr>
          <w:rFonts w:ascii="Times New Roman" w:hAnsi="Times New Roman" w:eastAsia="Times New Roman" w:cs="Times New Roman"/>
          <w:color w:val="000000"/>
        </w:rPr>
      </w:pPr>
      <w:r>
        <w:rPr>
          <w:rFonts w:eastAsia="Times New Roman" w:cs="Times New Roman" w:ascii="Times New Roman" w:hAnsi="Times New Roman"/>
          <w:color w:val="000000"/>
        </w:rPr>
        <w:t>Müşteri, süreçlerinin yürütülmesi ile alakalı olarak gerek kendisinin gerekse de görevlendireceği personellerin Danışman’ın taleplerini karşılayacağını, iletişimin daima aktif şekilde tutulacağını kabul, beyan ve taahhüt eder.</w:t>
      </w:r>
    </w:p>
    <w:p>
      <w:pPr>
        <w:pStyle w:val="Normal"/>
        <w:numPr>
          <w:ilvl w:val="1"/>
          <w:numId w:val="4"/>
        </w:numPr>
        <w:spacing w:before="0" w:after="120"/>
        <w:ind w:hanging="360" w:start="643"/>
        <w:jc w:val="both"/>
        <w:rPr>
          <w:rFonts w:ascii="Times New Roman" w:hAnsi="Times New Roman" w:eastAsia="Times New Roman" w:cs="Times New Roman"/>
          <w:color w:val="000000"/>
        </w:rPr>
      </w:pPr>
      <w:r>
        <w:rPr>
          <w:rFonts w:eastAsia="Times New Roman" w:cs="Times New Roman" w:ascii="Times New Roman" w:hAnsi="Times New Roman"/>
          <w:color w:val="000000"/>
        </w:rPr>
        <w:t xml:space="preserve">Müşteri, sözleşme konusu destek başvurularının yapılabilmesi ve takibi için gerekli her türlü bilgi ve belgeyi makul süre içerisinde Danışman’ a iletecektir. </w:t>
      </w:r>
    </w:p>
    <w:p>
      <w:pPr>
        <w:pStyle w:val="Normal"/>
        <w:numPr>
          <w:ilvl w:val="1"/>
          <w:numId w:val="4"/>
        </w:numPr>
        <w:spacing w:before="0" w:after="120"/>
        <w:ind w:hanging="360" w:start="643"/>
        <w:jc w:val="both"/>
        <w:rPr>
          <w:rFonts w:ascii="Times New Roman" w:hAnsi="Times New Roman" w:eastAsia="Times New Roman" w:cs="Times New Roman"/>
          <w:color w:val="000000"/>
        </w:rPr>
      </w:pPr>
      <w:r>
        <w:rPr>
          <w:rFonts w:eastAsia="Times New Roman" w:cs="Times New Roman" w:ascii="Times New Roman" w:hAnsi="Times New Roman"/>
          <w:color w:val="000000"/>
        </w:rPr>
        <w:t>Müşteri, işbu sözleşme kapsamında başvurusu yapılacak projelere sahip çıkacak ve projenin onaylanması için gerekli emek ve özeni gösterecektir. Bu yükümlülük esaslı yükümlülüklerden biri olarak kabul edilecektir.</w:t>
      </w:r>
    </w:p>
    <w:p>
      <w:pPr>
        <w:pStyle w:val="Normal"/>
        <w:numPr>
          <w:ilvl w:val="1"/>
          <w:numId w:val="4"/>
        </w:numPr>
        <w:spacing w:before="0" w:after="120"/>
        <w:ind w:hanging="360" w:start="643"/>
        <w:jc w:val="both"/>
        <w:rPr>
          <w:rFonts w:ascii="Times New Roman" w:hAnsi="Times New Roman" w:eastAsia="Times New Roman" w:cs="Times New Roman"/>
          <w:color w:val="000000"/>
        </w:rPr>
      </w:pPr>
      <w:r>
        <w:rPr>
          <w:rFonts w:eastAsia="Times New Roman" w:cs="Times New Roman" w:ascii="Times New Roman" w:hAnsi="Times New Roman"/>
          <w:color w:val="000000"/>
        </w:rPr>
        <w:t xml:space="preserve">Taraflar iş bu sözleşme sürecinde ve sözleşme konusu hizmet nedeniyle vakıf oldukları ve kendilerine gizli olduğu yazılı şekilde bildirilen tüm bilgileri gizli bilgi olarak kabul edecekler ve 3. kişilerle paylaşmayacaklardır. </w:t>
      </w:r>
    </w:p>
    <w:p>
      <w:pPr>
        <w:pStyle w:val="Normal"/>
        <w:spacing w:before="0" w:after="120"/>
        <w:ind w:start="643"/>
        <w:jc w:val="both"/>
        <w:rPr>
          <w:rFonts w:ascii="Times New Roman" w:hAnsi="Times New Roman" w:eastAsia="Times New Roman" w:cs="Times New Roman"/>
          <w:color w:val="000000"/>
        </w:rPr>
      </w:pPr>
      <w:r>
        <w:rPr>
          <w:rFonts w:eastAsia="Times New Roman" w:cs="Times New Roman" w:ascii="Times New Roman" w:hAnsi="Times New Roman"/>
          <w:color w:val="000000"/>
        </w:rPr>
      </w:r>
    </w:p>
    <w:p>
      <w:pPr>
        <w:pStyle w:val="Normal"/>
        <w:numPr>
          <w:ilvl w:val="0"/>
          <w:numId w:val="1"/>
        </w:numPr>
        <w:spacing w:before="0" w:after="120"/>
        <w:jc w:val="both"/>
        <w:rPr>
          <w:rFonts w:ascii="Times New Roman" w:hAnsi="Times New Roman" w:eastAsia="Times New Roman" w:cs="Times New Roman"/>
          <w:b/>
          <w:bCs/>
          <w:color w:val="000000"/>
          <w:u w:val="single"/>
        </w:rPr>
      </w:pPr>
      <w:r>
        <w:rPr>
          <w:rFonts w:eastAsia="Times New Roman" w:cs="Times New Roman" w:ascii="Times New Roman" w:hAnsi="Times New Roman"/>
          <w:b/>
          <w:bCs/>
          <w:color w:val="000000"/>
          <w:u w:val="single"/>
        </w:rPr>
        <w:t>ÖDEME</w:t>
      </w:r>
    </w:p>
    <w:p>
      <w:pPr>
        <w:pStyle w:val="Normal"/>
        <w:spacing w:before="0" w:after="120"/>
        <w:jc w:val="both"/>
        <w:rPr/>
      </w:pPr>
      <w:r>
        <w:rPr>
          <w:rFonts w:eastAsia="Times New Roman" w:cs="Times New Roman" w:ascii="Times New Roman" w:hAnsi="Times New Roman"/>
        </w:rPr>
        <w:t xml:space="preserve">İş bu sözleşme kapsamındaki hizmetler için Müşteri Danışman’ a 3 ayrı bölümde ücret ödeyecektir. </w:t>
      </w:r>
    </w:p>
    <w:p>
      <w:pPr>
        <w:pStyle w:val="Normal"/>
        <w:spacing w:before="0" w:after="120"/>
        <w:jc w:val="both"/>
        <w:rPr>
          <w:rFonts w:ascii="Times New Roman" w:hAnsi="Times New Roman" w:eastAsia="Times New Roman" w:cs="Times New Roman"/>
        </w:rPr>
      </w:pPr>
      <w:r>
        <w:rPr>
          <w:rFonts w:eastAsia="Times New Roman" w:cs="Times New Roman" w:ascii="Times New Roman" w:hAnsi="Times New Roman"/>
        </w:rPr>
        <w:t>5.1. Müşteri 1. bölümde, sözleşme süresince verilecek danışmanlık hizmeti kapsamında başlangıç ücreti olarak Danışman’ a Ek-1 ödeme planında belirtilen tarihte belirtilen bedeli ödeyecektir.</w:t>
      </w:r>
    </w:p>
    <w:p>
      <w:pPr>
        <w:pStyle w:val="Normal"/>
        <w:spacing w:before="0" w:after="120"/>
        <w:jc w:val="both"/>
        <w:rPr>
          <w:rFonts w:ascii="Times New Roman" w:hAnsi="Times New Roman" w:eastAsia="Times New Roman" w:cs="Times New Roman"/>
          <w:b w:val="false"/>
          <w:bCs w:val="false"/>
        </w:rPr>
      </w:pPr>
      <w:r>
        <w:rPr>
          <w:rFonts w:eastAsia="Times New Roman" w:cs="Times New Roman" w:ascii="Times New Roman" w:hAnsi="Times New Roman"/>
          <w:b w:val="false"/>
          <w:bCs w:val="false"/>
        </w:rPr>
        <w:t>5.2. 2. Bölüm başarı primidir. Müşteri, başvurusu yapılacak projelerin onaylanması durumunda onaylanan destek miktarının [[success_bonus]]  miktarınca başarı primini Danışman' a ödeyecektir. Bu başarı primi, desteğin onaylanmasından itibaren [[sb1ddl]] gün içerisinde Danışman'ın hesabına ödenecektir.</w:t>
      </w:r>
    </w:p>
    <w:p>
      <w:pPr>
        <w:pStyle w:val="Normal"/>
        <w:spacing w:before="0" w:after="120"/>
        <w:jc w:val="both"/>
        <w:rPr>
          <w:rFonts w:ascii="Times New Roman" w:hAnsi="Times New Roman" w:eastAsia="Times New Roman" w:cs="Times New Roman"/>
        </w:rPr>
      </w:pPr>
      <w:r>
        <w:rPr>
          <w:rFonts w:eastAsia="Times New Roman" w:cs="Times New Roman" w:ascii="Times New Roman" w:hAnsi="Times New Roman"/>
        </w:rPr>
        <w:t xml:space="preserve">5.3. 3. Bölüm onaylanan proje kapsamında Müşteri tarafından alınması gereken hizmet alım işlerinin bedelleridir. Hizmet alım işi için ödenecek bu ücret, başarı priminden bağımsızdır. Onaylanan proje kapsamında Müşteri tarafından alınması gereken hizmet alım işlerinin tamamı Danışman veya Danışman’ın yönlendirdiği firma/firmalar tarafından yapılacak olup ilgili hizmet kalemi için proje bütçesinde gösterilen bedel, Danışman veya onun yönlendirdiği firmaya(firmalara) ödenecektir. Şu kadar ki proje bütçesinde gösterilen hizmet alım işlerinin Müşteri tarafından Danışman’ a veya onun yönlendirdiği firmalara yaptırılmaması veya işin başka bir firmaya verilmesi durumunda Müşteri, bütçedeki bedel kadar Danışman’a ücret ödeyeceğini kabul, beyan ve taahhüt eder. </w:t>
      </w:r>
    </w:p>
    <w:p>
      <w:pPr>
        <w:pStyle w:val="Normal"/>
        <w:spacing w:before="0" w:after="120"/>
        <w:jc w:val="both"/>
        <w:rPr>
          <w:rFonts w:ascii="Times New Roman" w:hAnsi="Times New Roman" w:eastAsia="Times New Roman" w:cs="Times New Roman"/>
        </w:rPr>
      </w:pPr>
      <w:r>
        <w:rPr>
          <w:rFonts w:eastAsia="Times New Roman" w:cs="Times New Roman" w:ascii="Times New Roman" w:hAnsi="Times New Roman"/>
        </w:rPr>
        <w:t>5.4. Desteğin onaylanmasına rağmen Müşteri’ den kaynaklanan nedenlerle alınamaması ve yine Müşteri’ den kaynaklanan nedenlerle projenin yürütme sürecinde destek tutarlarında doğabilecek azaltımlar, Danışman’ın hakkedişini engellemez.</w:t>
      </w:r>
    </w:p>
    <w:p>
      <w:pPr>
        <w:pStyle w:val="Normal"/>
        <w:spacing w:lineRule="auto" w:line="240" w:before="120" w:after="120"/>
        <w:jc w:val="both"/>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5.5. İşbu sözleşmenin sonlanma tarihinden evvel başvurusu yapılmış veya başvuru hazırlığına başlanmış projelerin, sözleşmenin sonlanma tarihinden sonra onaylanması durumunda da Müşteri, Danışman’ a madde 4.2’ e göre başarı primi ödeyecek olup ayrıca hizmet alım işleri de madde 4.3’ e yürütülecektir.</w:t>
      </w:r>
    </w:p>
    <w:p>
      <w:pPr>
        <w:pStyle w:val="Normal"/>
        <w:spacing w:lineRule="auto" w:line="240" w:before="120" w:after="120"/>
        <w:jc w:val="both"/>
        <w:rPr>
          <w:rFonts w:ascii="Times New Roman" w:hAnsi="Times New Roman" w:eastAsia="Times New Roman" w:cs="Times New Roman"/>
          <w:b/>
          <w:bCs/>
          <w:u w:val="single"/>
        </w:rPr>
      </w:pPr>
      <w:r>
        <w:rPr>
          <w:rFonts w:eastAsia="Times New Roman" w:cs="Times New Roman" w:ascii="Times New Roman" w:hAnsi="Times New Roman"/>
          <w:color w:val="000000"/>
          <w:sz w:val="24"/>
          <w:szCs w:val="24"/>
        </w:rPr>
        <w:t xml:space="preserve">5.6. Yapılacak tüm ödemeler Danışman’ın Ziraat Bankası nezdindeki [[iban]] </w:t>
      </w:r>
      <w:r>
        <w:rPr>
          <w:rFonts w:eastAsia="Times New Roman" w:cs="Times New Roman" w:ascii="Times New Roman" w:hAnsi="Times New Roman"/>
        </w:rPr>
        <w:t xml:space="preserve">İban numaralı hesabına yapılacaktır. İşin ifası sırasında doğabilecek her türlü masraf Müşteri tarafından karşılanacaktır. </w:t>
      </w:r>
    </w:p>
    <w:p>
      <w:pPr>
        <w:pStyle w:val="Normal"/>
        <w:spacing w:before="0" w:after="120"/>
        <w:jc w:val="both"/>
        <w:rPr>
          <w:rFonts w:ascii="Times New Roman" w:hAnsi="Times New Roman" w:eastAsia="Times New Roman" w:cs="Times New Roman"/>
          <w:b/>
          <w:bCs/>
          <w:u w:val="single"/>
        </w:rPr>
      </w:pPr>
      <w:r>
        <w:rPr>
          <w:rFonts w:eastAsia="Times New Roman" w:cs="Times New Roman" w:ascii="Times New Roman" w:hAnsi="Times New Roman"/>
          <w:b/>
          <w:bCs/>
          <w:u w:val="single"/>
        </w:rPr>
      </w:r>
    </w:p>
    <w:p>
      <w:pPr>
        <w:pStyle w:val="Normal"/>
        <w:numPr>
          <w:ilvl w:val="0"/>
          <w:numId w:val="1"/>
        </w:numPr>
        <w:spacing w:before="0" w:after="120"/>
        <w:jc w:val="both"/>
        <w:rPr>
          <w:rFonts w:ascii="Times New Roman" w:hAnsi="Times New Roman" w:eastAsia="Times New Roman" w:cs="Times New Roman"/>
          <w:b/>
          <w:bCs/>
          <w:color w:val="000000"/>
          <w:u w:val="single"/>
        </w:rPr>
      </w:pPr>
      <w:r>
        <w:rPr>
          <w:rFonts w:eastAsia="Times New Roman" w:cs="Times New Roman" w:ascii="Times New Roman" w:hAnsi="Times New Roman"/>
          <w:b/>
          <w:bCs/>
          <w:color w:val="000000"/>
          <w:u w:val="single"/>
        </w:rPr>
        <w:t>SÖZLEŞMENİN SÜRESİ</w:t>
      </w:r>
    </w:p>
    <w:p>
      <w:pPr>
        <w:pStyle w:val="Normal"/>
        <w:spacing w:before="0" w:after="120"/>
        <w:jc w:val="both"/>
        <w:rPr>
          <w:rFonts w:ascii="Times New Roman" w:hAnsi="Times New Roman" w:eastAsia="Times New Roman" w:cs="Times New Roman"/>
        </w:rPr>
      </w:pPr>
      <w:r>
        <w:rPr>
          <w:rFonts w:eastAsia="Times New Roman" w:cs="Times New Roman" w:ascii="Times New Roman" w:hAnsi="Times New Roman"/>
        </w:rPr>
        <w:t xml:space="preserve">İşbu sözleşme imza tarihi itibariyle yürürlüğe girecek olup 1 yıl süre boyunca yürürlükte kalacaktır. Süre bitiminde Müşteri’nin talep etmesi durumunda kendisine güncel piyasa koşulları gözetilerek yeni bir teklifte bulunulacaktır. Tarafların teklif üzerinde anlaşması durumunda sözleşme, yeni döneme uzatılabilecektir. </w:t>
      </w:r>
    </w:p>
    <w:p>
      <w:pPr>
        <w:pStyle w:val="Normal"/>
        <w:spacing w:before="0" w:after="120"/>
        <w:jc w:val="both"/>
        <w:rPr/>
      </w:pPr>
      <w:r>
        <w:rPr/>
      </w:r>
    </w:p>
    <w:p>
      <w:pPr>
        <w:pStyle w:val="Normal"/>
        <w:numPr>
          <w:ilvl w:val="0"/>
          <w:numId w:val="1"/>
        </w:numPr>
        <w:spacing w:before="0" w:after="120"/>
        <w:jc w:val="both"/>
        <w:rPr>
          <w:rFonts w:ascii="Times New Roman" w:hAnsi="Times New Roman" w:eastAsia="Times New Roman" w:cs="Times New Roman"/>
          <w:b/>
          <w:bCs/>
          <w:color w:val="000000"/>
          <w:u w:val="single"/>
        </w:rPr>
      </w:pPr>
      <w:r>
        <w:rPr>
          <w:rFonts w:eastAsia="Times New Roman" w:cs="Times New Roman" w:ascii="Times New Roman" w:hAnsi="Times New Roman"/>
          <w:b/>
          <w:bCs/>
          <w:color w:val="000000"/>
          <w:u w:val="single"/>
        </w:rPr>
        <w:t>SÖZLEŞMENİN FESHİ &amp; CEZAİ ŞARTLAR</w:t>
      </w:r>
    </w:p>
    <w:p>
      <w:pPr>
        <w:pStyle w:val="Normal"/>
        <w:spacing w:before="0" w:after="120"/>
        <w:jc w:val="both"/>
        <w:rPr/>
      </w:pPr>
      <w:r>
        <w:rPr>
          <w:rFonts w:eastAsia="Times New Roman" w:cs="Times New Roman" w:ascii="Times New Roman" w:hAnsi="Times New Roman"/>
        </w:rPr>
        <w:t xml:space="preserve">Taraflar, iş bu sözleşme kapsamındaki esaslı yükümlülüklerin ihlal edilmesi durumunda, ihlal eden tarafa ilgili ihlali giderilmesi için 15 gün süre veren bir ihtarname keşide edileceğini, verilen süre içerisinde ilgili ihlalin giderilmemesi durumunda ise sözleşmenin haklı nedenle feshedilebileceğini kabul, beyan ve taahhüt ederler. </w:t>
      </w:r>
    </w:p>
    <w:p>
      <w:pPr>
        <w:pStyle w:val="Normal"/>
        <w:spacing w:before="0" w:after="120"/>
        <w:jc w:val="both"/>
        <w:rPr>
          <w:rFonts w:ascii="Times New Roman" w:hAnsi="Times New Roman" w:eastAsia="Times New Roman" w:cs="Times New Roman"/>
        </w:rPr>
      </w:pPr>
      <w:r>
        <w:rPr>
          <w:rFonts w:eastAsia="Times New Roman" w:cs="Times New Roman" w:ascii="Times New Roman" w:hAnsi="Times New Roman"/>
        </w:rPr>
        <w:t xml:space="preserve">Sözleşmenin Danışman tarafından haklı nedenle veya Müşteri tarafından haksız nedenle feshedilmesi durumunda; (i) Ödenen başlangıç ücreti miktarı Danışman tarafından alı konulacak, (ii) Danışman’ın bundan dolayı uğrayacağı tüm zararlar tazmin edilecek, (iii) fesih tarihine kadar başvurusu yapılmış ancak henüz sonuçlanmamış destek başvurularının onaylanıp onaylanmadığına bakılmaksızın madde 5.2 ve 5.3’ e göre hesaplanacak miktarı Danışman’ a derhal, nakden ve defaten ödenecektir. </w:t>
      </w:r>
    </w:p>
    <w:p>
      <w:pPr>
        <w:pStyle w:val="Normal"/>
        <w:spacing w:before="0" w:after="120"/>
        <w:jc w:val="both"/>
        <w:rPr/>
      </w:pPr>
      <w:r>
        <w:rPr>
          <w:rFonts w:eastAsia="Times New Roman" w:cs="Times New Roman" w:ascii="Times New Roman" w:hAnsi="Times New Roman"/>
        </w:rPr>
        <w:t>Sözleşmenin Müşteri tarafından haklı nedenle feshedilmesi durumunda, ödenen başlangıç ücretinden hak kazanılan destek miktarı düşüldükten sonra kalan bir meblağ olursa, bu meblağ Danışman tarafından Müşteri’ ye iade edilecektir.</w:t>
      </w:r>
    </w:p>
    <w:p>
      <w:pPr>
        <w:pStyle w:val="Normal"/>
        <w:spacing w:before="0" w:after="120"/>
        <w:jc w:val="both"/>
        <w:rPr/>
      </w:pPr>
      <w:r>
        <w:rPr>
          <w:rFonts w:eastAsia="Times New Roman" w:cs="Times New Roman" w:ascii="Times New Roman" w:hAnsi="Times New Roman"/>
        </w:rPr>
        <w:t xml:space="preserve">Taraflar, işbu sözleşme kapsamında yapılacak ödemelerin yukarıda belirtilen zamanlarda yapılmaması ve/veya borcun hukuki süreçlerde tahsili durumunda nihai ödemenin altın değer kaydı esas alınarak ödeneceğini kabul, beyan ve taahhüt ederler. </w:t>
      </w:r>
    </w:p>
    <w:p>
      <w:pPr>
        <w:pStyle w:val="Normal"/>
        <w:spacing w:before="0" w:after="120"/>
        <w:jc w:val="both"/>
        <w:rPr>
          <w:rFonts w:ascii="Times New Roman" w:hAnsi="Times New Roman" w:eastAsia="Times New Roman" w:cs="Times New Roman"/>
        </w:rPr>
      </w:pPr>
      <w:r>
        <w:rPr>
          <w:rFonts w:eastAsia="Times New Roman" w:cs="Times New Roman" w:ascii="Times New Roman" w:hAnsi="Times New Roman"/>
        </w:rPr>
        <w:t>Müşteri’ nin işbu sözleşmeyi imzalayan yetkilisi, Müşteri’ nin işbu sözleşme kapsamında Danışman’ a ödemesi gereken meblağlardan Müşteri şirket ile birlikte garantör sıfatıyla sorumlu olduğunu kabul, beyan ve taahhüt etmektedir.</w:t>
      </w:r>
    </w:p>
    <w:p>
      <w:pPr>
        <w:pStyle w:val="Normal"/>
        <w:spacing w:before="0" w:after="120"/>
        <w:jc w:val="both"/>
        <w:rPr/>
      </w:pPr>
      <w:r>
        <w:rPr/>
      </w:r>
    </w:p>
    <w:p>
      <w:pPr>
        <w:pStyle w:val="Normal"/>
        <w:numPr>
          <w:ilvl w:val="0"/>
          <w:numId w:val="5"/>
        </w:numPr>
        <w:spacing w:before="0" w:after="120"/>
        <w:jc w:val="both"/>
        <w:rPr>
          <w:rFonts w:ascii="Times New Roman" w:hAnsi="Times New Roman" w:eastAsia="Times New Roman" w:cs="Times New Roman"/>
          <w:b/>
          <w:bCs/>
          <w:color w:val="000000"/>
          <w:u w:val="single"/>
        </w:rPr>
      </w:pPr>
      <w:r>
        <w:rPr>
          <w:rFonts w:eastAsia="Times New Roman" w:cs="Times New Roman" w:ascii="Times New Roman" w:hAnsi="Times New Roman"/>
          <w:b/>
          <w:bCs/>
          <w:color w:val="000000"/>
          <w:u w:val="single"/>
        </w:rPr>
        <w:t>BİLDİRİMLER</w:t>
      </w:r>
    </w:p>
    <w:p>
      <w:pPr>
        <w:pStyle w:val="Normal"/>
        <w:spacing w:before="0" w:after="120"/>
        <w:jc w:val="both"/>
        <w:rPr>
          <w:rFonts w:ascii="Times New Roman" w:hAnsi="Times New Roman" w:eastAsia="Times New Roman" w:cs="Times New Roman"/>
        </w:rPr>
      </w:pPr>
      <w:r>
        <w:rPr>
          <w:rFonts w:eastAsia="Times New Roman" w:cs="Times New Roman" w:ascii="Times New Roman" w:hAnsi="Times New Roman"/>
        </w:rPr>
        <w:t>Taraflar arasında yapılacak bildirimler madde 1’ de belirtilen irtibat adreslerine elektronik posta, kayıtlı elektronik posta, elektronik yazışma, telgraf ve noter marifetiyle yapılacaktır. Şu kadar ki fesih, sonlanma bildirimleri mutlaka kayıtlı elektronik posta adresine veya noter marifetiyle yapılmalıdır. Bu adreslerde değişiklik olması durumunda diğer tarafa bu durumun yazılı olarak bildirileceği tarihe kadar bu adreslere yapılacak bildirimlerin geçerli kabul edileceğini kabul, beyan ve taahhüt ederler.</w:t>
      </w:r>
    </w:p>
    <w:p>
      <w:pPr>
        <w:pStyle w:val="Normal"/>
        <w:spacing w:before="0" w:after="120"/>
        <w:jc w:val="both"/>
        <w:rPr/>
      </w:pPr>
      <w:r>
        <w:rPr/>
      </w:r>
    </w:p>
    <w:p>
      <w:pPr>
        <w:pStyle w:val="Normal"/>
        <w:numPr>
          <w:ilvl w:val="0"/>
          <w:numId w:val="5"/>
        </w:numPr>
        <w:spacing w:before="0" w:after="120"/>
        <w:jc w:val="both"/>
        <w:rPr>
          <w:rFonts w:ascii="Times New Roman" w:hAnsi="Times New Roman" w:eastAsia="Times New Roman" w:cs="Times New Roman"/>
          <w:b/>
          <w:bCs/>
          <w:color w:val="000000"/>
          <w:u w:val="single"/>
        </w:rPr>
      </w:pPr>
      <w:r>
        <w:rPr>
          <w:rFonts w:eastAsia="Times New Roman" w:cs="Times New Roman" w:ascii="Times New Roman" w:hAnsi="Times New Roman"/>
          <w:b/>
          <w:bCs/>
          <w:color w:val="000000"/>
          <w:u w:val="single"/>
        </w:rPr>
        <w:t>YÜRÜRLÜK &amp; YETKİ</w:t>
      </w:r>
    </w:p>
    <w:p>
      <w:pPr>
        <w:pStyle w:val="Normal"/>
        <w:spacing w:before="0" w:after="120"/>
        <w:jc w:val="both"/>
        <w:rPr>
          <w:rFonts w:ascii="Times New Roman" w:hAnsi="Times New Roman" w:eastAsia="Times New Roman" w:cs="Times New Roman"/>
        </w:rPr>
      </w:pPr>
      <w:r>
        <w:rPr/>
        <w:t>[[contract_date]]</w:t>
      </w:r>
      <w:r>
        <w:rPr>
          <w:rFonts w:eastAsia="Times New Roman" w:cs="Times New Roman" w:ascii="Times New Roman" w:hAnsi="Times New Roman"/>
        </w:rPr>
        <w:t xml:space="preserve"> tarihinde tarafların yetkili temsilcileri tarafından akdedilerek yürürlüğe girmiştir. Damga vergisi taraflarca yarı yarıya karşılanacaktır. İşbu sözleşmeden kaynaklanan uyuşmazlıklarda milletlerarası ihtilaf kurallarına bakılmaksızın Türk Hukuku uygulanacak olup İstanbul Merkez (Çağlayan) Mahkemeleri ve İcra Müdürlükleri münhasıran yetkili olacaktır. </w:t>
      </w:r>
    </w:p>
    <w:p>
      <w:pPr>
        <w:pStyle w:val="Normal"/>
        <w:spacing w:before="0" w:after="120"/>
        <w:jc w:val="both"/>
        <w:rPr/>
      </w:pPr>
      <w:r>
        <w:rPr/>
      </w:r>
    </w:p>
    <w:p>
      <w:pPr>
        <w:pStyle w:val="Normal"/>
        <w:spacing w:before="0" w:after="120"/>
        <w:rPr/>
      </w:pPr>
      <w:r>
        <w:rPr>
          <w:rFonts w:eastAsia="Times New Roman" w:cs="Times New Roman" w:ascii="Times New Roman" w:hAnsi="Times New Roman"/>
          <w:b/>
          <w:bCs/>
        </w:rPr>
        <w:t>Danışman</w:t>
      </w:r>
      <w:r>
        <w:rPr>
          <w:rFonts w:eastAsia="Times New Roman" w:cs="Times New Roman" w:ascii="Times New Roman" w:hAnsi="Times New Roman"/>
        </w:rPr>
        <w:t xml:space="preserve"> </w:t>
      </w:r>
      <w:r>
        <w:rPr>
          <w:rFonts w:eastAsia="Times New Roman" w:cs="Times New Roman" w:ascii="Times New Roman" w:hAnsi="Times New Roman"/>
          <w:b/>
          <w:bCs/>
        </w:rPr>
        <w:t>adına;</w:t>
      </w:r>
      <w:r>
        <w:rPr/>
        <w:tab/>
        <w:tab/>
        <w:tab/>
        <w:tab/>
        <w:tab/>
        <w:tab/>
        <w:tab/>
      </w:r>
      <w:r>
        <w:rPr>
          <w:rFonts w:eastAsia="Times New Roman" w:cs="Times New Roman" w:ascii="Times New Roman" w:hAnsi="Times New Roman"/>
          <w:b/>
          <w:bCs/>
        </w:rPr>
        <w:t>Müşteri &amp; Garantör</w:t>
      </w:r>
    </w:p>
    <w:p>
      <w:pPr>
        <w:pStyle w:val="Normal"/>
        <w:spacing w:before="0" w:after="120"/>
        <w:rPr/>
      </w:pPr>
      <w:r>
        <w:rPr>
          <w:rFonts w:eastAsia="Times New Roman" w:cs="Times New Roman" w:ascii="Times New Roman" w:hAnsi="Times New Roman"/>
          <w:b/>
          <w:bCs/>
        </w:rPr>
        <w:t>Ahmet SUNGUR</w:t>
      </w:r>
      <w:r>
        <w:rPr/>
        <w:tab/>
        <w:tab/>
        <w:tab/>
        <w:tab/>
        <w:tab/>
        <w:tab/>
        <w:tab/>
      </w:r>
      <w:r>
        <w:rPr>
          <w:rFonts w:eastAsia="Times New Roman" w:cs="Times New Roman" w:ascii="Times New Roman" w:hAnsi="Times New Roman"/>
          <w:b/>
          <w:bCs/>
        </w:rPr>
        <w:t xml:space="preserve">      </w:t>
      </w:r>
    </w:p>
    <w:p>
      <w:pPr>
        <w:pStyle w:val="Normal"/>
        <w:spacing w:before="0" w:after="120"/>
        <w:rPr>
          <w:rFonts w:ascii="Times New Roman" w:hAnsi="Times New Roman" w:eastAsia="Times New Roman" w:cs="Times New Roman"/>
          <w:b/>
          <w:bCs/>
        </w:rPr>
      </w:pPr>
      <w:r>
        <w:rPr>
          <w:rFonts w:eastAsia="Times New Roman" w:cs="Times New Roman" w:ascii="Times New Roman" w:hAnsi="Times New Roman"/>
          <w:b/>
          <w:bCs/>
        </w:rPr>
      </w:r>
    </w:p>
    <w:p>
      <w:pPr>
        <w:pStyle w:val="Normal"/>
        <w:spacing w:before="0" w:after="120"/>
        <w:rPr>
          <w:rFonts w:ascii="Times New Roman" w:hAnsi="Times New Roman" w:eastAsia="Times New Roman" w:cs="Times New Roman"/>
          <w:b/>
          <w:bCs/>
        </w:rPr>
      </w:pPr>
      <w:r>
        <w:rPr>
          <w:rFonts w:eastAsia="Times New Roman" w:cs="Times New Roman" w:ascii="Times New Roman" w:hAnsi="Times New Roman"/>
          <w:b/>
          <w:bCs/>
        </w:rPr>
      </w:r>
    </w:p>
    <w:p>
      <w:pPr>
        <w:pStyle w:val="Normal"/>
        <w:spacing w:before="0" w:after="120"/>
        <w:rPr>
          <w:rFonts w:ascii="Times New Roman" w:hAnsi="Times New Roman" w:eastAsia="Times New Roman" w:cs="Times New Roman"/>
          <w:b/>
          <w:bCs/>
        </w:rPr>
      </w:pPr>
      <w:r>
        <w:rPr>
          <w:rFonts w:eastAsia="Times New Roman" w:cs="Times New Roman" w:ascii="Times New Roman" w:hAnsi="Times New Roman"/>
          <w:b/>
          <w:bCs/>
        </w:rPr>
      </w:r>
    </w:p>
    <w:p>
      <w:pPr>
        <w:pStyle w:val="Normal"/>
        <w:spacing w:before="0" w:after="120"/>
        <w:rPr>
          <w:rFonts w:ascii="Times New Roman" w:hAnsi="Times New Roman" w:eastAsia="Times New Roman" w:cs="Times New Roman"/>
          <w:b/>
          <w:bCs/>
        </w:rPr>
      </w:pPr>
      <w:r>
        <w:rPr>
          <w:rFonts w:eastAsia="Times New Roman" w:cs="Times New Roman" w:ascii="Times New Roman" w:hAnsi="Times New Roman"/>
          <w:b/>
          <w:bCs/>
        </w:rPr>
      </w:r>
    </w:p>
    <w:p>
      <w:pPr>
        <w:pStyle w:val="Normal"/>
        <w:spacing w:before="0" w:after="120"/>
        <w:rPr>
          <w:rFonts w:ascii="Times New Roman" w:hAnsi="Times New Roman" w:eastAsia="Times New Roman" w:cs="Times New Roman"/>
          <w:b/>
          <w:bCs/>
        </w:rPr>
      </w:pPr>
      <w:r>
        <w:rPr>
          <w:rFonts w:eastAsia="Times New Roman" w:cs="Times New Roman" w:ascii="Times New Roman" w:hAnsi="Times New Roman"/>
          <w:b/>
          <w:bCs/>
        </w:rPr>
      </w:r>
    </w:p>
    <w:p>
      <w:pPr>
        <w:pStyle w:val="Normal"/>
        <w:spacing w:before="0" w:after="120"/>
        <w:rPr>
          <w:rFonts w:ascii="Times New Roman" w:hAnsi="Times New Roman" w:eastAsia="Times New Roman" w:cs="Times New Roman"/>
          <w:b/>
          <w:bCs/>
        </w:rPr>
      </w:pPr>
      <w:r>
        <w:rPr>
          <w:rFonts w:eastAsia="Times New Roman" w:cs="Times New Roman" w:ascii="Times New Roman" w:hAnsi="Times New Roman"/>
          <w:b/>
          <w:bCs/>
        </w:rPr>
      </w:r>
    </w:p>
    <w:p>
      <w:pPr>
        <w:pStyle w:val="Normal"/>
        <w:spacing w:before="0" w:after="120"/>
        <w:rPr/>
      </w:pPr>
      <w:r>
        <w:rPr>
          <w:rFonts w:eastAsia="Times New Roman" w:cs="Times New Roman" w:ascii="Times New Roman" w:hAnsi="Times New Roman"/>
          <w:b/>
          <w:bCs/>
        </w:rPr>
        <w:t>Ekler</w:t>
      </w:r>
    </w:p>
    <w:p>
      <w:pPr>
        <w:pStyle w:val="Normal"/>
        <w:numPr>
          <w:ilvl w:val="0"/>
          <w:numId w:val="2"/>
        </w:numPr>
        <w:spacing w:before="0" w:after="120"/>
        <w:rPr>
          <w:rFonts w:ascii="Times New Roman" w:hAnsi="Times New Roman" w:eastAsia="Times New Roman" w:cs="Times New Roman"/>
          <w:color w:val="000000"/>
        </w:rPr>
      </w:pPr>
      <w:r>
        <w:rPr>
          <w:rFonts w:eastAsia="Times New Roman" w:cs="Times New Roman" w:ascii="Times New Roman" w:hAnsi="Times New Roman"/>
          <w:color w:val="000000"/>
        </w:rPr>
        <w:t>Ödeme Planı</w:t>
      </w:r>
    </w:p>
    <w:p>
      <w:pPr>
        <w:pStyle w:val="Normal"/>
        <w:numPr>
          <w:ilvl w:val="0"/>
          <w:numId w:val="2"/>
        </w:numPr>
        <w:spacing w:before="0" w:after="120"/>
        <w:rPr>
          <w:rFonts w:ascii="Times New Roman" w:hAnsi="Times New Roman" w:eastAsia="Times New Roman" w:cs="Times New Roman"/>
          <w:color w:val="000000"/>
        </w:rPr>
      </w:pPr>
      <w:r>
        <w:rPr>
          <w:rFonts w:eastAsia="Times New Roman" w:cs="Times New Roman" w:ascii="Times New Roman" w:hAnsi="Times New Roman"/>
          <w:color w:val="000000"/>
        </w:rPr>
        <w:t>İmza sirküleri ve/veya yetki belgesi.</w:t>
      </w:r>
      <w:r>
        <w:rPr>
          <w:color w:val="000000"/>
        </w:rPr>
        <w:br/>
      </w:r>
      <w:r>
        <w:rPr>
          <w:rFonts w:eastAsia="Times New Roman" w:cs="Times New Roman" w:ascii="Times New Roman" w:hAnsi="Times New Roman"/>
          <w:color w:val="000000"/>
        </w:rPr>
        <w:t xml:space="preserve"> </w:t>
      </w:r>
    </w:p>
    <w:p>
      <w:pPr>
        <w:pStyle w:val="Normal"/>
        <w:spacing w:before="0" w:after="120"/>
        <w:jc w:val="both"/>
        <w:rPr>
          <w:rFonts w:ascii="Times New Roman" w:hAnsi="Times New Roman" w:eastAsia="Times New Roman" w:cs="Times New Roman"/>
          <w:b/>
          <w:bCs/>
          <w:u w:val="single"/>
        </w:rPr>
      </w:pPr>
      <w:r>
        <w:rPr>
          <w:rFonts w:eastAsia="Times New Roman" w:cs="Times New Roman" w:ascii="Times New Roman" w:hAnsi="Times New Roman"/>
          <w:b/>
          <w:bCs/>
          <w:u w:val="single"/>
        </w:rPr>
      </w:r>
    </w:p>
    <w:p>
      <w:pPr>
        <w:pStyle w:val="Normal"/>
        <w:spacing w:before="0" w:after="120"/>
        <w:jc w:val="both"/>
        <w:rPr>
          <w:rFonts w:ascii="Times New Roman" w:hAnsi="Times New Roman" w:eastAsia="Times New Roman" w:cs="Times New Roman"/>
          <w:b/>
          <w:bCs/>
          <w:u w:val="single"/>
        </w:rPr>
      </w:pPr>
      <w:r>
        <w:rPr>
          <w:rFonts w:eastAsia="Times New Roman" w:cs="Times New Roman" w:ascii="Times New Roman" w:hAnsi="Times New Roman"/>
          <w:b/>
          <w:bCs/>
          <w:u w:val="single"/>
        </w:rPr>
      </w:r>
    </w:p>
    <w:p>
      <w:pPr>
        <w:pStyle w:val="Normal"/>
        <w:spacing w:before="0" w:after="120"/>
        <w:jc w:val="both"/>
        <w:rPr/>
      </w:pPr>
      <w:r>
        <w:rPr>
          <w:rFonts w:eastAsia="Times New Roman" w:cs="Times New Roman" w:ascii="Times New Roman" w:hAnsi="Times New Roman"/>
          <w:b/>
          <w:bCs/>
          <w:u w:val="single"/>
        </w:rPr>
        <w:t>EK-1 ÖDEME PLANI</w:t>
      </w:r>
    </w:p>
    <w:tbl>
      <w:tblPr>
        <w:tblStyle w:val="a"/>
        <w:tblW w:w="9016" w:type="dxa"/>
        <w:jc w:val="start"/>
        <w:tblInd w:w="0" w:type="dxa"/>
        <w:tblLayout w:type="fixed"/>
        <w:tblCellMar>
          <w:top w:w="0" w:type="dxa"/>
          <w:start w:w="108" w:type="dxa"/>
          <w:bottom w:w="0" w:type="dxa"/>
          <w:end w:w="108" w:type="dxa"/>
        </w:tblCellMar>
        <w:tblLook w:val="0400" w:firstRow="0" w:noVBand="1" w:lastRow="0" w:firstColumn="0" w:lastColumn="0" w:noHBand="0"/>
      </w:tblPr>
      <w:tblGrid>
        <w:gridCol w:w="4508"/>
        <w:gridCol w:w="4508"/>
      </w:tblGrid>
      <w:tr>
        <w:trPr>
          <w:trHeight w:val="300" w:hRule="atLeast"/>
        </w:trPr>
        <w:tc>
          <w:tcPr>
            <w:tcW w:w="4508" w:type="dxa"/>
            <w:tcBorders>
              <w:top w:val="single" w:sz="8" w:space="0" w:color="000000"/>
              <w:start w:val="single" w:sz="8" w:space="0" w:color="000000"/>
              <w:bottom w:val="single" w:sz="8" w:space="0" w:color="000000"/>
              <w:end w:val="single" w:sz="8" w:space="0" w:color="000000"/>
            </w:tcBorders>
            <w:vAlign w:val="center"/>
          </w:tcPr>
          <w:p>
            <w:pPr>
              <w:pStyle w:val="Normal"/>
              <w:spacing w:before="0" w:after="120"/>
              <w:jc w:val="center"/>
              <w:rPr/>
            </w:pPr>
            <w:r>
              <w:rPr>
                <w:rFonts w:eastAsia="Times New Roman" w:cs="Times New Roman" w:ascii="Times New Roman" w:hAnsi="Times New Roman"/>
                <w:b/>
                <w:bCs/>
              </w:rPr>
              <w:t>ÖDEME TARİHİ</w:t>
            </w:r>
          </w:p>
        </w:tc>
        <w:tc>
          <w:tcPr>
            <w:tcW w:w="4508" w:type="dxa"/>
            <w:tcBorders>
              <w:top w:val="single" w:sz="8" w:space="0" w:color="000000"/>
              <w:start w:val="single" w:sz="8" w:space="0" w:color="000000"/>
              <w:bottom w:val="single" w:sz="8" w:space="0" w:color="000000"/>
              <w:end w:val="single" w:sz="8" w:space="0" w:color="000000"/>
            </w:tcBorders>
            <w:vAlign w:val="center"/>
          </w:tcPr>
          <w:p>
            <w:pPr>
              <w:pStyle w:val="Normal"/>
              <w:spacing w:before="0" w:after="120"/>
              <w:jc w:val="center"/>
              <w:rPr/>
            </w:pPr>
            <w:r>
              <w:rPr>
                <w:rFonts w:eastAsia="Times New Roman" w:cs="Times New Roman" w:ascii="Times New Roman" w:hAnsi="Times New Roman"/>
                <w:b/>
                <w:bCs/>
              </w:rPr>
              <w:t>ÖDENECEK MEBLAĞ</w:t>
            </w:r>
          </w:p>
        </w:tc>
      </w:tr>
      <w:tr>
        <w:trPr>
          <w:trHeight w:val="300" w:hRule="atLeast"/>
        </w:trPr>
        <w:tc>
          <w:tcPr>
            <w:tcW w:w="4508" w:type="dxa"/>
            <w:tcBorders>
              <w:top w:val="single" w:sz="8" w:space="0" w:color="000000"/>
              <w:start w:val="single" w:sz="8" w:space="0" w:color="000000"/>
              <w:bottom w:val="single" w:sz="8" w:space="0" w:color="000000"/>
              <w:end w:val="single" w:sz="8" w:space="0" w:color="000000"/>
            </w:tcBorders>
            <w:vAlign w:val="center"/>
          </w:tcPr>
          <w:p>
            <w:pPr>
              <w:pStyle w:val="Normal"/>
              <w:spacing w:before="0" w:after="120"/>
              <w:jc w:val="center"/>
              <w:rPr/>
            </w:pPr>
            <w:r>
              <w:rPr>
                <w:rFonts w:eastAsia="Times New Roman" w:cs="Times New Roman" w:ascii="Times New Roman" w:hAnsi="Times New Roman"/>
                <w:b/>
                <w:bCs/>
              </w:rPr>
              <w:t>[[#payment_schedule]][[payment_date]]</w:t>
            </w:r>
          </w:p>
        </w:tc>
        <w:tc>
          <w:tcPr>
            <w:tcW w:w="4508" w:type="dxa"/>
            <w:tcBorders>
              <w:top w:val="single" w:sz="8" w:space="0" w:color="000000"/>
              <w:start w:val="single" w:sz="8" w:space="0" w:color="000000"/>
              <w:bottom w:val="single" w:sz="8" w:space="0" w:color="000000"/>
              <w:end w:val="single" w:sz="8" w:space="0" w:color="000000"/>
            </w:tcBorders>
            <w:vAlign w:val="center"/>
          </w:tcPr>
          <w:p>
            <w:pPr>
              <w:pStyle w:val="Normal"/>
              <w:spacing w:before="0" w:after="120"/>
              <w:jc w:val="center"/>
              <w:rPr/>
            </w:pPr>
            <w:r>
              <w:rPr>
                <w:rFonts w:eastAsia="Times New Roman" w:cs="Times New Roman" w:ascii="Times New Roman" w:hAnsi="Times New Roman"/>
                <w:b/>
                <w:bCs/>
              </w:rPr>
              <w:t>[[down_payment]][[/payment_schedule]]</w:t>
            </w:r>
          </w:p>
        </w:tc>
      </w:tr>
    </w:tbl>
    <w:p>
      <w:pPr>
        <w:pStyle w:val="Normal"/>
        <w:spacing w:before="0" w:after="120"/>
        <w:jc w:val="both"/>
        <w:rPr/>
      </w:pPr>
      <w:r>
        <w:rPr>
          <w:rFonts w:eastAsia="Times New Roman" w:cs="Times New Roman" w:ascii="Times New Roman" w:hAnsi="Times New Roman"/>
          <w:b/>
          <w:bCs/>
        </w:rPr>
        <w:t xml:space="preserve"> </w:t>
      </w:r>
    </w:p>
    <w:p>
      <w:pPr>
        <w:pStyle w:val="Normal"/>
        <w:spacing w:before="0" w:after="120"/>
        <w:rPr/>
      </w:pPr>
      <w:r>
        <w:rPr>
          <w:rFonts w:eastAsia="Times New Roman" w:cs="Times New Roman" w:ascii="Times New Roman" w:hAnsi="Times New Roman"/>
          <w:b/>
          <w:bCs/>
        </w:rPr>
        <w:t>Danışman</w:t>
      </w:r>
      <w:r>
        <w:rPr>
          <w:rFonts w:eastAsia="Times New Roman" w:cs="Times New Roman" w:ascii="Times New Roman" w:hAnsi="Times New Roman"/>
        </w:rPr>
        <w:t xml:space="preserve"> </w:t>
      </w:r>
      <w:r>
        <w:rPr>
          <w:rFonts w:eastAsia="Times New Roman" w:cs="Times New Roman" w:ascii="Times New Roman" w:hAnsi="Times New Roman"/>
          <w:b/>
          <w:bCs/>
        </w:rPr>
        <w:t>adına;</w:t>
      </w:r>
      <w:r>
        <w:rPr/>
        <w:tab/>
        <w:tab/>
        <w:tab/>
        <w:tab/>
        <w:tab/>
        <w:tab/>
        <w:tab/>
      </w:r>
      <w:r>
        <w:rPr>
          <w:rFonts w:eastAsia="Times New Roman" w:cs="Times New Roman" w:ascii="Times New Roman" w:hAnsi="Times New Roman"/>
          <w:b/>
          <w:bCs/>
        </w:rPr>
        <w:t>Müşteri &amp; Garantör</w:t>
      </w:r>
    </w:p>
    <w:p>
      <w:pPr>
        <w:pStyle w:val="Normal"/>
        <w:spacing w:before="0" w:after="120"/>
        <w:jc w:val="both"/>
        <w:rPr>
          <w:rFonts w:ascii="Times New Roman" w:hAnsi="Times New Roman" w:eastAsia="Times New Roman" w:cs="Times New Roman"/>
          <w:b/>
          <w:bCs/>
        </w:rPr>
      </w:pPr>
      <w:r>
        <w:rPr>
          <w:rFonts w:eastAsia="Times New Roman" w:cs="Times New Roman" w:ascii="Times New Roman" w:hAnsi="Times New Roman"/>
          <w:b/>
          <w:bCs/>
        </w:rPr>
        <w:t>Ahmet SUNGUR</w:t>
      </w:r>
      <w:r>
        <w:rPr/>
        <w:tab/>
        <w:tab/>
        <w:tab/>
        <w:tab/>
      </w:r>
    </w:p>
    <w:p>
      <w:pPr>
        <w:pStyle w:val="Normal"/>
        <w:spacing w:before="0" w:after="120"/>
        <w:rPr/>
      </w:pPr>
      <w:r>
        <w:rPr/>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Segoe UI">
    <w:charset w:val="00" w:characterSet="windows-1252"/>
    <w:family w:val="swiss"/>
    <w:pitch w:val="variable"/>
  </w:font>
  <w:font w:name="Liberation Sans">
    <w:altName w:val="Arial"/>
    <w:charset w:val="00" w:characterSet="windows-1252"/>
    <w:family w:val="swiss"/>
    <w:pitch w:val="variable"/>
  </w:font>
  <w:font w:name="Georgia">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Noto Sans Symbols">
    <w:charset w:val="01"/>
    <w:family w:val="swiss"/>
    <w:pitch w:val="default"/>
  </w:font>
  <w:font w:name="Courier New">
    <w:charset w:val="01"/>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1.%2."/>
      <w:lvlJc w:val="start"/>
      <w:pPr>
        <w:tabs>
          <w:tab w:val="num" w:pos="0"/>
        </w:tabs>
        <w:ind w:start="1440" w:hanging="360"/>
      </w:pPr>
      <w:rPr/>
    </w:lvl>
    <w:lvl w:ilvl="2">
      <w:start w:val="1"/>
      <w:numFmt w:val="decimal"/>
      <w:lvlText w:val="%1.%2.%3."/>
      <w:lvlJc w:val="start"/>
      <w:pPr>
        <w:tabs>
          <w:tab w:val="num" w:pos="0"/>
        </w:tabs>
        <w:ind w:start="2160" w:hanging="180"/>
      </w:pPr>
      <w:rPr/>
    </w:lvl>
    <w:lvl w:ilvl="3">
      <w:start w:val="1"/>
      <w:numFmt w:val="decimal"/>
      <w:lvlText w:val="%1.%2.%3.%4."/>
      <w:lvlJc w:val="start"/>
      <w:pPr>
        <w:tabs>
          <w:tab w:val="num" w:pos="0"/>
        </w:tabs>
        <w:ind w:start="2880" w:hanging="360"/>
      </w:pPr>
      <w:rPr/>
    </w:lvl>
    <w:lvl w:ilvl="4">
      <w:start w:val="1"/>
      <w:numFmt w:val="decimal"/>
      <w:lvlText w:val="%1.%2.%3.%4.%5."/>
      <w:lvlJc w:val="start"/>
      <w:pPr>
        <w:tabs>
          <w:tab w:val="num" w:pos="0"/>
        </w:tabs>
        <w:ind w:start="3600" w:hanging="360"/>
      </w:pPr>
      <w:rPr/>
    </w:lvl>
    <w:lvl w:ilvl="5">
      <w:start w:val="1"/>
      <w:numFmt w:val="decimal"/>
      <w:lvlText w:val="%1.%2.%3.%4.%5.%6."/>
      <w:lvlJc w:val="start"/>
      <w:pPr>
        <w:tabs>
          <w:tab w:val="num" w:pos="0"/>
        </w:tabs>
        <w:ind w:start="4320" w:hanging="180"/>
      </w:pPr>
      <w:rPr/>
    </w:lvl>
    <w:lvl w:ilvl="6">
      <w:start w:val="1"/>
      <w:numFmt w:val="decimal"/>
      <w:lvlText w:val="%1.%2.%3.%4.%5.%6.%7."/>
      <w:lvlJc w:val="start"/>
      <w:pPr>
        <w:tabs>
          <w:tab w:val="num" w:pos="0"/>
        </w:tabs>
        <w:ind w:start="5040" w:hanging="360"/>
      </w:pPr>
      <w:rPr/>
    </w:lvl>
    <w:lvl w:ilvl="7">
      <w:start w:val="1"/>
      <w:numFmt w:val="decimal"/>
      <w:lvlText w:val="%1.%2.%3.%4.%5.%6.%7.%8."/>
      <w:lvlJc w:val="start"/>
      <w:pPr>
        <w:tabs>
          <w:tab w:val="num" w:pos="0"/>
        </w:tabs>
        <w:ind w:start="5760" w:hanging="360"/>
      </w:pPr>
      <w:rPr/>
    </w:lvl>
    <w:lvl w:ilvl="8">
      <w:start w:val="1"/>
      <w:numFmt w:val="decimal"/>
      <w:lvlText w:val="%1.%2.%3.%4.%5.%6.%7.%8.%9."/>
      <w:lvlJc w:val="start"/>
      <w:pPr>
        <w:tabs>
          <w:tab w:val="num" w:pos="0"/>
        </w:tabs>
        <w:ind w:start="6480" w:hanging="180"/>
      </w:pPr>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0"/>
        </w:tabs>
        <w:ind w:start="720" w:hanging="360"/>
      </w:pPr>
      <w:rPr>
        <w:rFonts w:ascii="Noto Sans Symbols" w:hAnsi="Noto Sans Symbols" w:cs="Noto Sans Symbol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Noto Sans Symbols" w:hAnsi="Noto Sans Symbols" w:cs="Noto Sans Symbols" w:hint="default"/>
      </w:rPr>
    </w:lvl>
    <w:lvl w:ilvl="3">
      <w:start w:val="1"/>
      <w:numFmt w:val="bullet"/>
      <w:lvlText w:val="●"/>
      <w:lvlJc w:val="start"/>
      <w:pPr>
        <w:tabs>
          <w:tab w:val="num" w:pos="0"/>
        </w:tabs>
        <w:ind w:start="2880" w:hanging="360"/>
      </w:pPr>
      <w:rPr>
        <w:rFonts w:ascii="Noto Sans Symbols" w:hAnsi="Noto Sans Symbols" w:cs="Noto Sans Symbols"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Noto Sans Symbols" w:hAnsi="Noto Sans Symbols" w:cs="Noto Sans Symbols" w:hint="default"/>
      </w:rPr>
    </w:lvl>
    <w:lvl w:ilvl="6">
      <w:start w:val="1"/>
      <w:numFmt w:val="bullet"/>
      <w:lvlText w:val="●"/>
      <w:lvlJc w:val="start"/>
      <w:pPr>
        <w:tabs>
          <w:tab w:val="num" w:pos="0"/>
        </w:tabs>
        <w:ind w:start="5040" w:hanging="360"/>
      </w:pPr>
      <w:rPr>
        <w:rFonts w:ascii="Noto Sans Symbols" w:hAnsi="Noto Sans Symbols" w:cs="Noto Sans Symbols"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Noto Sans Symbols" w:hAnsi="Noto Sans Symbols" w:cs="Noto Sans Symbols" w:hint="default"/>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5"/>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tr-T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tr-TR" w:eastAsia="tr-TR"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Calibri"/>
      <w:color w:val="auto"/>
      <w:kern w:val="0"/>
      <w:sz w:val="22"/>
      <w:szCs w:val="22"/>
      <w:lang w:val="tr-TR" w:eastAsia="tr-TR" w:bidi="ar-SA"/>
    </w:rPr>
  </w:style>
  <w:style w:type="paragraph" w:styleId="Heading1">
    <w:name w:val="heading 1"/>
    <w:basedOn w:val="Normal"/>
    <w:next w:val="Normal"/>
    <w:qFormat/>
    <w:pPr>
      <w:keepNext w:val="true"/>
      <w:keepLines/>
      <w:spacing w:before="480" w:after="120"/>
      <w:outlineLvl w:val="0"/>
    </w:pPr>
    <w:rPr>
      <w:b/>
      <w:bCs/>
      <w:sz w:val="48"/>
      <w:szCs w:val="48"/>
    </w:rPr>
  </w:style>
  <w:style w:type="paragraph" w:styleId="Heading2">
    <w:name w:val="heading 2"/>
    <w:basedOn w:val="Normal"/>
    <w:next w:val="Normal"/>
    <w:qFormat/>
    <w:pPr>
      <w:keepNext w:val="true"/>
      <w:keepLines/>
      <w:spacing w:before="360" w:after="80"/>
      <w:outlineLvl w:val="1"/>
    </w:pPr>
    <w:rPr>
      <w:b/>
      <w:bCs/>
      <w:sz w:val="36"/>
      <w:szCs w:val="36"/>
    </w:rPr>
  </w:style>
  <w:style w:type="paragraph" w:styleId="Heading3">
    <w:name w:val="heading 3"/>
    <w:basedOn w:val="Normal"/>
    <w:next w:val="Normal"/>
    <w:qFormat/>
    <w:pPr>
      <w:keepNext w:val="true"/>
      <w:keepLines/>
      <w:spacing w:before="280" w:after="80"/>
      <w:outlineLvl w:val="2"/>
    </w:pPr>
    <w:rPr>
      <w:b/>
      <w:bCs/>
      <w:sz w:val="28"/>
      <w:szCs w:val="28"/>
    </w:rPr>
  </w:style>
  <w:style w:type="paragraph" w:styleId="Heading4">
    <w:name w:val="heading 4"/>
    <w:basedOn w:val="Normal"/>
    <w:next w:val="Normal"/>
    <w:qFormat/>
    <w:pPr>
      <w:keepNext w:val="true"/>
      <w:keepLines/>
      <w:spacing w:before="240" w:after="40"/>
      <w:outlineLvl w:val="3"/>
    </w:pPr>
    <w:rPr>
      <w:b/>
      <w:bCs/>
      <w:sz w:val="24"/>
      <w:szCs w:val="24"/>
    </w:rPr>
  </w:style>
  <w:style w:type="paragraph" w:styleId="Heading5">
    <w:name w:val="heading 5"/>
    <w:basedOn w:val="Normal"/>
    <w:next w:val="Normal"/>
    <w:qFormat/>
    <w:pPr>
      <w:keepNext w:val="true"/>
      <w:keepLines/>
      <w:spacing w:before="220" w:after="40"/>
      <w:outlineLvl w:val="4"/>
    </w:pPr>
    <w:rPr>
      <w:b/>
      <w:bCs/>
    </w:rPr>
  </w:style>
  <w:style w:type="paragraph" w:styleId="Heading6">
    <w:name w:val="heading 6"/>
    <w:basedOn w:val="Normal"/>
    <w:next w:val="Normal"/>
    <w:qFormat/>
    <w:pPr>
      <w:keepNext w:val="true"/>
      <w:keepLines/>
      <w:spacing w:before="200" w:after="40"/>
      <w:outlineLvl w:val="5"/>
    </w:pPr>
    <w:rPr>
      <w:b/>
      <w:bCs/>
      <w:sz w:val="20"/>
      <w:szCs w:val="20"/>
    </w:rPr>
  </w:style>
  <w:style w:type="character" w:styleId="DefaultParagraphFont" w:default="1">
    <w:name w:val="Default Paragraph Font"/>
    <w:uiPriority w:val="1"/>
    <w:semiHidden/>
    <w:unhideWhenUsed/>
    <w:qFormat/>
    <w:rPr/>
  </w:style>
  <w:style w:type="character" w:styleId="BalonMetniChar" w:customStyle="1">
    <w:name w:val="Balon Metni Char"/>
    <w:basedOn w:val="DefaultParagraphFont"/>
    <w:link w:val="BalloonText"/>
    <w:uiPriority w:val="99"/>
    <w:semiHidden/>
    <w:qFormat/>
    <w:rsid w:val="009c551d"/>
    <w:rPr>
      <w:rFonts w:ascii="Segoe UI" w:hAnsi="Segoe UI" w:cs="Segoe UI"/>
      <w:sz w:val="18"/>
      <w:szCs w:val="18"/>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qFormat/>
    <w:pPr>
      <w:keepNext w:val="true"/>
      <w:keepLines/>
      <w:spacing w:before="480" w:after="120"/>
    </w:pPr>
    <w:rPr>
      <w:b/>
      <w:bCs/>
      <w:sz w:val="72"/>
      <w:szCs w:val="72"/>
    </w:rPr>
  </w:style>
  <w:style w:type="paragraph" w:styleId="ListParagraph">
    <w:name w:val="List Paragraph"/>
    <w:basedOn w:val="Normal"/>
    <w:uiPriority w:val="34"/>
    <w:qFormat/>
    <w:pPr>
      <w:spacing w:before="0" w:after="160"/>
      <w:ind w:start="720"/>
      <w:contextualSpacing/>
    </w:pPr>
    <w:rPr/>
  </w:style>
  <w:style w:type="paragraph" w:styleId="NormalWeb">
    <w:name w:val="Normal (Web)"/>
    <w:basedOn w:val="Normal"/>
    <w:uiPriority w:val="99"/>
    <w:semiHidden/>
    <w:unhideWhenUsed/>
    <w:qFormat/>
    <w:rsid w:val="009c551d"/>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onMetniChar"/>
    <w:uiPriority w:val="99"/>
    <w:semiHidden/>
    <w:unhideWhenUsed/>
    <w:qFormat/>
    <w:rsid w:val="009c551d"/>
    <w:pPr>
      <w:spacing w:lineRule="auto" w:line="240" w:before="0" w:after="0"/>
    </w:pPr>
    <w:rPr>
      <w:rFonts w:ascii="Segoe UI" w:hAnsi="Segoe UI" w:cs="Segoe UI"/>
      <w:sz w:val="18"/>
      <w:szCs w:val="18"/>
    </w:rPr>
  </w:style>
  <w:style w:type="paragraph" w:styleId="Subtitle">
    <w:name w:val="Subtitle"/>
    <w:basedOn w:val="Normal"/>
    <w:next w:val="Normal"/>
    <w:qFormat/>
    <w:pPr>
      <w:keepNext w:val="true"/>
      <w:keepLines/>
      <w:spacing w:before="360" w:after="80"/>
    </w:pPr>
    <w:rPr>
      <w:rFonts w:ascii="Georgia" w:hAnsi="Georgia" w:eastAsia="Georgia" w:cs="Georgia"/>
      <w:i/>
      <w:iCs/>
      <w:color w:val="666666"/>
      <w:sz w:val="48"/>
      <w:szCs w:val="48"/>
    </w:rPr>
  </w:style>
  <w:style w:type="numbering" w:styleId="NoList" w:default="1">
    <w:name w:val="No List"/>
    <w:uiPriority w:val="99"/>
    <w:semiHidden/>
    <w:unhideWhenUsed/>
    <w:qFormat/>
  </w:style>
  <w:style w:type="table" w:default="1" w:styleId="NormalTablo">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styleId="TabloKlavuzu">
    <w:name w:val="Table Grid"/>
    <w:basedOn w:val="NormalTablo"/>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qZE2unIh4mpolYDLNooSSZzJ4Yg==">CgMxLjA4AHIhMXJkQXRrRE9jY2JKbDRhUWhJel9Xd3FTY1FSMUlKQVBU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Application>LibreOffice/26.2.3.2$Windows_X86_64 LibreOffice_project/70e089b17412e4cb7773e41413306b17a2328c34</Application>
  <AppVersion>15.0000</AppVersion>
  <Pages>5</Pages>
  <Words>1266</Words>
  <Characters>9212</Characters>
  <CharactersWithSpaces>10435</CharactersWithSpaces>
  <Paragraphs>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2023-10-06T06:33:00Z</dcterms:created>
  <dc:creator>Faik Karaarslan</dc:creator>
  <dc:description/>
  <dc:language>en-US</dc:language>
  <cp:lastModifiedBy/>
  <dcterms:modified xsi:type="dcterms:W3CDTF">2026-05-13T11:15:45Z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