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rsidR="00AD2792" w:rsidRDefault="00732E30"><w:pPr><w:spacing w:after="120"/><w:jc w:val="center"/></w:pPr><w:r><w:rPr><w:rFonts w:ascii="Times New Roman" w:eastAsia="Times New Roman" w:hAnsi="Times New Roman" w:cs="Times New Roman"/><w:b/><w:bCs/></w:rPr><w:t>DANIŞMANLIK VE HİZMET SÖZLEŞMESİ</w:t></w: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TARAFLAR</w:t></w:r></w:p><w:p w:rsidR="00AD2792" w:rsidRDefault="00732E30"><w:pPr><w:spacing w:after="120"/><w:jc w:val="both"/></w:pPr><w:r><w:rPr><w:rFonts w:ascii="Times New Roman" w:eastAsia="Times New Roman" w:hAnsi="Times New Roman" w:cs="Times New Roman"/></w:rPr><w:t xml:space="preserve">İşbu sözleşme aşağıdaki kişiler arasında akdedilmiştir. </w:t></w:r></w:p><w:p w:rsidR="00AD2792" w:rsidRDefault="00732E30"><w:pPr><w:spacing w:after="120"/><w:ind w:left="705" w:hanging="705"/><w:jc w:val="both"/><w:rPr><w:rFonts w:ascii="Times New Roman" w:eastAsia="Times New Roman" w:hAnsi="Times New Roman" w:cs="Times New Roman"/></w:rPr></w:pPr><w:r><w:rPr><w:rFonts w:ascii="Times New Roman" w:eastAsia="Times New Roman" w:hAnsi="Times New Roman" w:cs="Times New Roman"/></w:rPr><w:t>1.1.  @@party1_name@@ (Danışman)</w:t></w:r></w:p><w:p w:rsidR="00AD2792" w:rsidRDefault="00732E30"><w:pPr><w:spacing w:after="120"/><w:ind w:firstLine="705"/><w:jc w:val="both"/><w:rPr><w:rFonts w:ascii="Times New Roman" w:eastAsia="Times New Roman" w:hAnsi="Times New Roman" w:cs="Times New Roman"/></w:rPr></w:pPr><w:r><w:rPr><w:rFonts w:ascii="Times New Roman" w:eastAsia="Times New Roman" w:hAnsi="Times New Roman" w:cs="Times New Roman"/></w:rPr><w:t>@@party1_tax_office@@ / @@party1_tax_no@@</w:t></w:r></w:p><w:p w:rsidR="00AD2792" w:rsidRDefault="00732E30"><w:pPr><w:spacing w:after="120"/><w:ind w:firstLine="705"/><w:jc w:val="both"/><w:rPr><w:rFonts w:ascii="Times New Roman" w:eastAsia="Times New Roman" w:hAnsi="Times New Roman" w:cs="Times New Roman"/></w:rPr></w:pPr><w:r><w:rPr><w:rFonts w:ascii="Times New Roman" w:eastAsia="Times New Roman" w:hAnsi="Times New Roman" w:cs="Times New Roman"/></w:rPr><w:t>@@party1_address@@</w:t></w:r></w:p><w:p w:rsidR="00732E30" w:rsidRDefault="00732E30" w:rsidP="00732E30"><w:pPr><w:spacing w:after="120"/><w:ind w:left="705" w:hanging="705"/><w:jc w:val="both"/><w:rPr><w:rFonts w:ascii="Times New Roman" w:eastAsia="Times New Roman" w:hAnsi="Times New Roman" w:cs="Times New Roman"/></w:rPr></w:pPr><w:r><w:rPr><w:rFonts w:ascii="Times New Roman" w:eastAsia="Times New Roman" w:hAnsi="Times New Roman" w:cs="Times New Roman"/></w:rPr><w:t>1.2. @@party2_name@@ (Danışman)</w:t></w:r></w:p><w:p w:rsidR="00732E30" w:rsidRDefault="00732E30" w:rsidP="00732E30"><w:pPr><w:spacing w:after="120"/><w:ind w:firstLine="705"/><w:jc w:val="both"/><w:rPr><w:rFonts w:ascii="Times New Roman" w:eastAsia="Times New Roman" w:hAnsi="Times New Roman" w:cs="Times New Roman"/></w:rPr></w:pPr><w:r><w:rPr><w:rFonts w:ascii="Times New Roman" w:eastAsia="Times New Roman" w:hAnsi="Times New Roman" w:cs="Times New Roman"/></w:rPr><w:t>@@party2_tax_office@@ / @@party2_tax_no@@</w:t></w:r></w:p><w:p w:rsidR="00732E30" w:rsidRDefault="00732E30" w:rsidP="00732E30"><w:pPr><w:spacing w:after="120"/><w:ind w:firstLine="705"/><w:jc w:val="both"/><w:rPr><w:rFonts w:ascii="Times New Roman" w:eastAsia="Times New Roman" w:hAnsi="Times New Roman" w:cs="Times New Roman"/></w:rPr></w:pPr><w:r><w:rPr><w:rFonts w:ascii="Times New Roman" w:eastAsia="Times New Roman" w:hAnsi="Times New Roman" w:cs="Times New Roman"/></w:rPr><w:t>@@party2_address@@</w:t></w:r></w:p><w:p w:rsidR="00AD2792" w:rsidRDefault="00AD2792" w:rsidP="00732E30"><w:pPr><w:spacing w:after="120"/><w:jc w:val="both"/><w:rPr><w:rFonts w:ascii="Times New Roman" w:eastAsia="Times New Roman" w:hAnsi="Times New Roman" w:cs="Times New Roman"/></w:rPr></w:pP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Taraflar “Sun Proje Tercüme Danışmanlık Eğitim İthalat İhracat ve San. Tic. Ltd. Şti.” ile “Sun ve Sun Danışmanlık Bilişim San. ve Tic. A.Ş.”’nin Analiz Kariyer Danışmanlık Eğitim Özel İstihdam ve İnsan Kaynakları Turizm Bilişim Yazılım Tic. Ltd. Şti. firması ile grup şirket olduklarını bundan sonra Sun Grup olarak anılacaklarını kabul, beyan ve taahhüt etmektedirler.</w:t></w:r></w:p><w:p w:rsidR="00AD2792" w:rsidRDefault="00AD2792"><w:pPr><w:spacing w:after="120"/><w:jc w:val="both"/></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KONU</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İşbu sözleşme, Müşteri’nin faaliyet alanına göre kamu kurum ve/veya kuruluşları tarafından sağlanabilecek hibe, kredi, destek ve teşvikler (Bundan sonra hepsi birlikte ‘‘destek’’ olarak anılacaktır.) Danışman tarafından takip edilmesi, proje hazırlık ve başvuru süreçlerinin yürütümü ve onaylanan destekler içerisinde yer alan hizmet alım işlerinin Danışman veya Danışman’ ın yönlendirdiği firmalar tarafından yerine getirilmesi hususunda akdedilmiştir. </w:t></w:r></w:p><w:p w:rsidR="00AD2792" w:rsidRDefault="00AD2792"><w:pPr><w:spacing w:after="120"/><w:jc w:val="both"/></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DANIŞMAN’IN YÜKÜMLÜLÜKLERİ</w:t></w:r></w:p><w:p w:rsidR="00AD2792" w:rsidRDefault="00732E30"><w:pPr><w:spacing w:after="120"/><w:ind w:left="720"/><w:jc w:val="both"/><w:rPr><w:rFonts w:ascii="Times New Roman" w:eastAsia="Times New Roman" w:hAnsi="Times New Roman" w:cs="Times New Roman"/><w:b/><w:bCs/><w:u w:val="single"/></w:rPr></w:pPr><w:r><w:rPr><w:rFonts w:ascii="Times New Roman" w:eastAsia="Times New Roman" w:hAnsi="Times New Roman" w:cs="Times New Roman"/><w:b/><w:bCs/><w:u w:val="single"/></w:rPr><w:t>3.1. Takip &amp; Proje Başvurusu</w:t></w:r></w:p><w:p w:rsidR="00AD2792" w:rsidRDefault="00732E30"><w:pPr><w:spacing w:after="120" w:line="257" w:lineRule="auto"/><w:jc w:val="both"/></w:pPr><w:r><w:rPr><w:rFonts w:ascii="Times New Roman" w:eastAsia="Times New Roman" w:hAnsi="Times New Roman" w:cs="Times New Roman"/></w:rPr><w:t xml:space="preserve">İşbu sözleşme kapsamında Müşteri’ nin faaliyet alanına göre Danışman tarafından; </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KOSGEB,</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TÜBİTAK,</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Ticaret Bakanlığı,</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Sanayi ve Teknoloji Bakanlığı,</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Avrupa Birliği,</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Uluslararası Çalışma Örgütü (İLO),</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Birleşmiş Milletler,</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 xml:space="preserve">Bölgesel Kalkınma Ajansları ve bunlarla sınırlı olmaksızın destek sağlayan diğer tüm kamu ve özel kurum ve kuruluşların destekleri takip edilecektir. Tespit edilen desteklere Müşteri’ nin onayı ile birlikte başvuru süreçleri yürütülecektir. </w:t></w:r></w:p><w:p w:rsidR="00AD2792" w:rsidRDefault="00732E30"><w:pPr><w:spacing w:after="120"/><w:jc w:val="both"/></w:pPr><w:r><w:rPr><w:rFonts w:ascii="Times New Roman" w:eastAsia="Times New Roman" w:hAnsi="Times New Roman" w:cs="Times New Roman"/></w:rPr><w:lastRenderedPageBreak/><w:t xml:space="preserve">TUBİTAK 1501-1507 AR-GE Programları, KOSGEB AR-GE ÜR-GE İnovasyon Destek Programları ve TKDK İPARD Programlarına başvuru süreçleri iş bu sözleşme kapsamında değildir. Müşteri’ nin talep etmesi durumunda bu programlara başvurular ayrıca fiyatlandırılacaktır. </w:t></w:r></w:p><w:p w:rsidR="00AD2792" w:rsidRDefault="00732E30"><w:pPr><w:spacing w:after="120"/><w:jc w:val="both"/><w:rPr><w:rFonts w:ascii="Times New Roman" w:eastAsia="Times New Roman" w:hAnsi="Times New Roman" w:cs="Times New Roman"/><w:b/><w:bCs/><w:u w:val="single"/></w:rPr></w:pPr><w:r><w:rPr><w:rFonts w:ascii="Times New Roman" w:eastAsia="Times New Roman" w:hAnsi="Times New Roman" w:cs="Times New Roman"/></w:rPr><w:t xml:space="preserve"> 3.2. Onaylanan Projede Yer Alan Hizmet Alım İşleri</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Taraflar, Danışman tarafından tespit ve başvuru süreçleri yürütülen projelerin onaylanması durumunda onaylanan proje kapsamında desteklenen hizmet alım işlerinin Danışman veya Danışman’ ın yönlendireceği firmalar tarafından yapılacağı hususunda mutabıklardır. </w:t></w:r></w:p><w:p w:rsidR="00AD2792" w:rsidRDefault="00AD2792"><w:pPr><w:spacing w:after="120"/><w:jc w:val="both"/></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GENEL YÜKÜMLÜLÜKLER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Müşteri, işbu sözleşme kapsamındaki danışmanlık hizmetleri için işbu sözleşmenin yürürlük süresi boyunca başka kişilerle anlaşma yapmayacağını/çalışmayacağını, sözleşme konusu işlerin münhasıran Danışman tarafından yürütüleceğini kabul, beyan ve taahhüt etmektedir.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Danışman tarafından, başvuru yapılması hususunda mutabık kalınan projenin mantıksal çerçevesinin oluşturulması, projenin faydalanıcı niceliklerinin, niteliklerinin, risk tanımlarının ve bütçesinin belirlenmesi, projeye dair dokümanların başvuru formatına uygun şekilde teklif olarak sunulacak hale getirilmesi ve neticeten onaylanan projelerin yürütülmesi için gerekli bilgi desteğini vermek huşularında danışmanlık hizmeti verilecektir.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Proje hazırlandığında başvuru öncesinde Danışman tarafından Müşteri’ den onay alınmadan başvuru süreci gerçekleştirilmeyecektir. Müşteri’ nin onay vermemesi veya onayının gecikmesinden Danışman hiçbir surette sorumlu tutulamayacaktır.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Proje başvurularının elektronik sistemler üzerinden ilgili makama teslimi için gerekli e-devlet, kurum şifreleri vs. bilgilerin Danışman ile paylaşılması durumunda Danışman projenin elektronik sistem üzerinden teslimini gerçekleştirecektir. Aksi takdirde proje başvuru evraklarının ilgili makama teslimi Müşteri'nin sorumluluğunda olup Danışman bu süreçte Müşteri’ ye destek verecektir.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Danışman, danışmanlık çalışmalarını yazılı, sözlü, şifai, teknik ve teknolojik aletleri kullanarak, e-maille, faksla, telefonla, Müşteri'nin ofisinde, kendi ofisinde veya herhangi bir yerde yürütebilir.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Danışman, daima Müşteri’nin menfaatleri gözeterek hareket edecek olup başta Müşteri’nin ticari itibarını zedeleyecek olmak üzere Müşteri aleyhine olabilecek tüm davranışlardan kaçınacaktır.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Danışman sözleşme konusu işi yürütürken kendisinin ve personellerinin özenle çalışacağını kabul, beyan ve taahhüt eder.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Danışman sözleşme konusu işi Sun Grup firmalarınca yürütecektir. Ancak gerekmesi durumunda işin tamamını veya bir kısmını üçüncü kişi veya kurumlara yaptırabilecektir. Müşteri bu durumu peşinen kabul etmiştir. Danışman bu kişilerin sözleşme konusu hizmeti ayıplı ifa etmelerinden dolayı sorumlu olduğunu kabul, beyan ve taahhüt etmektedir.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Müşteri, süreçlerinin yürütülmesi ile alakalı olarak gerek kendisinin gerekse de görevlendireceği personellerin Danışman’ın taleplerini karşılayacağını, iletişimin daima aktif şekilde tutulacağını kabul, beyan ve taahhüt eder.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Müşteri, sözleşme konusu destek başvurularının yapılabilmesi ve takibi için gerekli her türlü bilgi ve belgeyi makul süre içerisinde Danışman’ a iletecektir.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lastRenderedPageBreak/><w:t>Müşteri, işbu sözleşme kapsamında başvurusu yapılacak projelere sahip çıkacak ve projenin onaylanması için gerekli emek ve özeni gösterecektir. Bu yükümlülük esaslı yükümlülüklerden biri olarak kabul edilecektir.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Taraflar iş bu sözleşme sürecinde ve sözleşme konusu hizmet nedeniyle vakıf oldukları ve kendilerine gizli olduğu yazılı şekilde bildirilen tüm bilgileri gizli bilgi olarak kabul edecekler ve 3. kişilerle paylaşmayacaklardır. </w:t></w:r></w:p><w:p w:rsidR="00AD2792" w:rsidRDefault="00AD2792"><w:pPr><w:pBdr><w:top w:val="nil"/><w:left w:val="nil"/><w:bottom w:val="nil"/><w:right w:val="nil"/><w:between w:val="nil"/></w:pBdr><w:spacing w:after="120"/><w:ind w:left="643"/><w:jc w:val="both"/><w:rPr><w:rFonts w:ascii="Times New Roman" w:eastAsia="Times New Roman" w:hAnsi="Times New Roman" w:cs="Times New Roman"/><w:color w:val="000000"/></w:rPr></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ÖDEME</w:t></w:r></w:p><w:p w:rsidR="00AD2792" w:rsidRDefault="00732E30"><w:pPr><w:spacing w:after="120"/><w:jc w:val="both"/></w:pPr><w:r><w:rPr><w:rFonts w:ascii="Times New Roman" w:eastAsia="Times New Roman" w:hAnsi="Times New Roman" w:cs="Times New Roman"/></w:rPr><w:t xml:space="preserve">İş bu sözleşme kapsamındaki hizmetler için Müşteri Danışman’ a 3 ayrı bölümde ücret ödeyecektir. </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5.1. Müşteri 1. bölümde, sözleşme süresince verilecek danışmanlık hizmeti kapsamında başlangıç ücreti olarak Danışman’ a Ek-1 ödeme planında belirtilen tarihte belirtilen bedeli ödeyecektir.</w:t></w:r></w:p><w:p w:rsidR="00AD2792" w:rsidRPr="00727C38" w:rsidRDefault="00732E30"><w:pPr><w:spacing w:after="120"/><w:jc w:val="both"/><w:rPr><w:rFonts w:ascii="Times New Roman" w:eastAsia="Times New Roman" w:hAnsi="Times New Roman" w:cs="Times New Roman"/><w:b/></w:rPr></w:pPr><w:r><w:rPr><w:rFonts w:ascii="Times New Roman" w:eastAsia="Times New Roman" w:hAnsi="Times New Roman" w:cs="Times New Roman"/></w:rPr><w:t xml:space="preserve">5.2. 2. Bölüm başarı primidir. Müşteri, başvurusu yapılacak projelerin onaylanması durumunda onaylanan destek miktarının @@success_bonus@@ + KDV miktarınca başarı primini Danışman’ a ödeyecektir. Bu başarı primi, desteğin onaylanmasından itibaren @@sb1ddl@@ gün içerisinde Danışman’ın hesabına ödenecektir. </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5.3. 3. Bölüm onaylanan proje kapsamında Müşteri tarafından alınması gereken hizmet alım işlerinin bedelleridir. Hizmet alım işi için ödenecek bu ücret, başarı priminden bağımsızdır. Onaylanan proje kapsamında Müşteri tarafından alınması gereken hizmet alım işlerinin tamamı Danışman veya Danışman’ın yönlendirdiği firma/firmalar tarafından yapılacak olup ilgili hizmet kalemi için proje bütçesinde gösterilen bedel, Danışman veya onun yönlendirdiği firmaya(firmalara) ödenecektir. Şu kadar ki proje bütçesinde gösterilen hizmet alım işlerinin Müşteri tarafından Danışman’ a veya onun yönlendirdiği firmalara yaptırılmaması veya işin başka bir firmaya verilmesi durumunda Müşteri, bütçedeki bedel kadar Danışman’a ücret ödeyeceğini kabul, beyan ve taahhüt eder. </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5.4. Desteğin onaylanmasına rağmen Müşteri’ den kaynaklanan nedenlerle alınamaması ve yine Müşteri’ den kaynaklanan nedenlerle projenin yürütme sürecinde destek tutarlarında doğabilecek azaltımlar, Danışman’ın hakkedişini engellemez.</w:t></w:r></w:p><w:p w:rsidR="00AD2792" w:rsidRDefault="00732E30"><w:pPr><w:pBdr><w:top w:val="nil"/><w:left w:val="nil"/><w:bottom w:val="nil"/><w:right w:val="nil"/><w:between w:val="nil"/></w:pBdr><w:spacing w:before="120" w:after="120" w:line="240" w:lineRule="auto"/><w:jc w:val="both"/><w:rPr><w:rFonts w:ascii="Times New Roman" w:eastAsia="Times New Roman" w:hAnsi="Times New Roman" w:cs="Times New Roman"/><w:color w:val="000000"/><w:sz w:val="24"/><w:szCs w:val="24"/></w:rPr></w:pPr><w:r><w:rPr><w:rFonts w:ascii="Times New Roman" w:eastAsia="Times New Roman" w:hAnsi="Times New Roman" w:cs="Times New Roman"/><w:color w:val="000000"/><w:sz w:val="24"/><w:szCs w:val="24"/></w:rPr><w:t>5.5. İşbu sözleşmenin sonlanma tarihinden evvel başvurusu yapılmış veya başvuru hazırlığına başlanmış projelerin, sözleşmenin sonlanma tarihinden sonra onaylanması durumunda da Müşteri, Danışman’ a madde 4.2’ e göre başarı primi ödeyecek olup ayrıca hizmet alım işleri de madde 4.3’ e yürütülecektir.</w:t></w:r></w:p><w:p w:rsidR="00AD2792" w:rsidRDefault="00732E30"><w:pPr><w:pBdr><w:top w:val="nil"/><w:left w:val="nil"/><w:bottom w:val="nil"/><w:right w:val="nil"/><w:between w:val="nil"/></w:pBdr><w:spacing w:before="120" w:after="120" w:line="240" w:lineRule="auto"/><w:jc w:val="both"/><w:rPr><w:rFonts w:ascii="Times New Roman" w:eastAsia="Times New Roman" w:hAnsi="Times New Roman" w:cs="Times New Roman"/><w:b/><w:bCs/><w:u w:val="single"/></w:rPr></w:pPr><w:r><w:rPr><w:rFonts w:ascii="Times New Roman" w:eastAsia="Times New Roman" w:hAnsi="Times New Roman" w:cs="Times New Roman"/><w:color w:val="000000"/><w:sz w:val="24"/><w:szCs w:val="24"/></w:rPr><w:t>5.6. Yapılacak tüm ödemeler Danışman’ın Ziraat Bankası nezdindeki @@iban@@ İban numaralı hesabına yapılacaktır. İşin ifası sırasında doğabilecek her türlü masraf Müşteri tarafından karşılanacaktır. </w:t></w:r></w:p><w:p w:rsidR="00AD2792" w:rsidRDefault="00AD2792"><w:pPr><w:spacing w:after="120"/><w:jc w:val="both"/><w:rPr><w:rFonts w:ascii="Times New Roman" w:eastAsia="Times New Roman" w:hAnsi="Times New Roman" w:cs="Times New Roman"/><w:b/><w:bCs/><w:u w:val="single"/></w:rPr></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SÖZLEŞMENİN SÜRESİ</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İşbu sözleşme imza tarihi itibariyle yürürlüğe girecek olup 1 yıl süre boyunca yürürlükte kalacaktır. Süre bitiminde Müşteri’nin talep etmesi durumunda kendisine güncel piyasa koşulları gözetilerek yeni bir teklifte bulunulacaktır. Tarafların teklif üzerinde anlaşması durumunda sözleşme, yeni döneme uzatılabilecektir. </w:t></w:r></w:p><w:p w:rsidR="00AD2792" w:rsidRDefault="00AD2792"><w:pPr><w:spacing w:after="120"/><w:jc w:val="both"/></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SÖZLEŞMENİN FESHİ &amp; CEZAİ ŞARTLAR</w:t></w:r></w:p><w:p w:rsidR="00AD2792" w:rsidRDefault="00732E30"><w:pPr><w:spacing w:after="120"/><w:jc w:val="both"/></w:pPr><w:r><w:rPr><w:rFonts w:ascii="Times New Roman" w:eastAsia="Times New Roman" w:hAnsi="Times New Roman" w:cs="Times New Roman"/></w:rPr><w:t xml:space="preserve">Taraflar, iş bu sözleşme kapsamındaki esaslı yükümlülüklerin ihlal edilmesi durumunda, ihlal eden tarafa ilgili ihlali giderilmesi için 15 gün süre veren bir ihtarname keşide edileceğini, verilen süre Sözleşmenin Danışman tarafından haklı nedenle veya Müşteri tarafından haksız nedenle feshedilmesi durumunda; (i) Ödenen başlangıç ücreti miktarı Danışman tarafından alı konulacak, (ii) Danışman’ın bundan dolayı uğrayacağı tüm zararlar tazmin edilecek, (iii) fesih tarihine kadar başvurusu yapılmış ancak henüz sonuçlanmamış destek başvurularının onaylanıp onaylanmadığına bakılmaksızın madde 5.2 ve 5.3’ e göre hesaplanacak miktarı Danışman’ a derhal, nakden ve defaten ödenecektir. </w:t></w:r></w:p><w:p w:rsidR="00AD2792" w:rsidRDefault="00732E30"><w:pPr><w:spacing w:after="120"/><w:jc w:val="both"/></w:pPr><w:r><w:rPr><w:rFonts w:ascii="Times New Roman" w:eastAsia="Times New Roman" w:hAnsi="Times New Roman" w:cs="Times New Roman"/></w:rPr><w:t>Sözleşmenin Müşteri tarafından haklı nedenle feshedilmesi durumunda, ödenen başlangıç ücretinden hak kazanılan destek miktarı düşüldükten sonra kalan bir meblağ olursa, bu meblağ Danışman tarafından Müşteri’ ye iade edilecektir.</w:t></w:r></w:p><w:p w:rsidR="00AD2792" w:rsidRDefault="00732E30"><w:pPr><w:spacing w:after="120"/><w:jc w:val="both"/></w:pPr><w:r><w:rPr><w:rFonts w:ascii="Times New Roman" w:eastAsia="Times New Roman" w:hAnsi="Times New Roman" w:cs="Times New Roman"/></w:rPr><w:t xml:space="preserve">Taraflar, işbu sözleşme kapsamında yapılacak ödemelerin yukarıda belirtilen zamanlarda yapılmaması ve/veya borcun hukuki süreçlerde tahsili durumunda nihai ödemenin altın değer kaydı esas alınarak ödeneceğini kabul, beyan ve taahhüt ederler. </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Müşteri’ nin işbu sözleşmeyi imzalayan yetkilisi, Müşteri’ nin işbu sözleşme kapsamında Danışman’ a ödemesi gereken meblağlardan Müşteri şirket ile birlikte garantör sıfatıyla sorumlu olduğunu kabul, beyan ve taahhüt etmektedir.</w:t></w:r></w:p><w:p w:rsidR="00AD2792" w:rsidRDefault="00AD2792"><w:pPr><w:spacing w:after="120"/><w:jc w:val="both"/></w:pPr></w:p><w:p w:rsidR="00AD2792" w:rsidRDefault="00732E30"><w:pPr><w:numPr><w:ilvl w:val="0"/><w:numId w:val="5"/></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BİLDİRİMLER</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Taraflar arasında yapılacak bildirimler madde 1’ de belirtilen irtibat adreslerine elektronik posta, kayıtlı elektronik posta, elektronik yazışma, telgraf ve noter marifetiyle yapılacaktır. Şu kadar ki fesih, sonlanma bildirimleri mutlaka kayıtlı elektronik posta adresine veya noter marifetiyle yapılmalıdır. Bu adreslerde değişiklik olması durumunda diğer tarafa bu durumun yazılı olarak bildirileceği tarihe kadar bu adreslere yapılacak bildirimlerin geçerli kabul edileceğini kabul, beyan ve taahhüt ederler.</w:t></w:r></w:p><w:p w:rsidR="00AD2792" w:rsidRDefault="00AD2792"><w:pPr><w:spacing w:after="120"/><w:jc w:val="both"/></w:pPr></w:p><w:p w:rsidR="00AD2792" w:rsidRDefault="00732E30"><w:pPr><w:numPr><w:ilvl w:val="0"/><w:numId w:val="5"/></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YÜRÜRLÜK &amp; YETKİ</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3 (üç) sayfa 2 (iki) nüsha ve ek-1 ödeme planından ibaret işbu sözleşme @@contract_date@@ tarihinde tarafların yetkili temsilcileri tarafından akdedilerek yürürlüğe girmiştir. Damga vergisi taraflarca yarı yarıya karşılanacaktır. İşbu sözleşmeden kaynaklanan uyuşmazlıklarda milletlerarası ihtilaf kurallarına bakılmaksızın Türk Hukuku uygulanacak olup İstanbul Merkez (Çağlayan) Mahkemeleri ve İcra Müdürlükleri münhasıran yetkili olacaktır. </w:t></w:r></w:p><w:p w:rsidR="00AD2792" w:rsidRDefault="00AD2792"><w:pPr><w:spacing w:after="120"/><w:jc w:val="both"/></w:pPr></w:p><w:p w:rsidR="00AD2792" w:rsidRDefault="00732E30"><w:pPr><w:spacing w:after="120"/></w:pPr><w:r><w:rPr><w:rFonts w:ascii="Times New Roman" w:eastAsia="Times New Roman" w:hAnsi="Times New Roman" w:cs="Times New Roman"/><w:b/><w:bCs/></w:rPr><w:t>Danışman adına;</w:r><w:r><w:tab/></w:r><w:r><w:tab/></w:r><w:r><w:tab/></w:r><w:r><w:tab/></w:r><w:r><w:tab/></w:r><w:r><w:tab/></w:r><w:r><w:rPr><w:rFonts w:ascii="Times New Roman" w:eastAsia="Times New Roman" w:hAnsi="Times New Roman" w:cs="Times New Roman"/><w:b/><w:bCs/></w:rPr><w:t>Müşteri &amp; Garantör</w:t></w:r></w:p><w:p w:rsidR="00AD2792" w:rsidRDefault="00732E30"><w:pPr><w:spacing w:after="120"/></w:pPr><w:r><w:rPr><w:rFonts w:ascii="Times New Roman" w:eastAsia="Times New Roman" w:hAnsi="Times New Roman" w:cs="Times New Roman"/><w:b/><w:bCs/></w:rPr><w:t>Ahmet SUNGUR</w:r><w:r><w:tab/></w:r><w:r><w:tab/></w:r><w:r><w:tab/></w:r><w:r><w:tab/></w:r><w:r><w:tab/></w:r><w:r><w:tab/></w:r><w:r><w:rPr><w:rFonts w:ascii="Times New Roman" w:eastAsia="Times New Roman" w:hAnsi="Times New Roman" w:cs="Times New Roman"/><w:b/><w:bCs/></w:rPr><w:t xml:space="preserve">      </w:t></w: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732E30"><w:pPr><w:spacing w:after="120"/></w:pPr><w:r><w:rPr><w:rFonts w:ascii="Times New Roman" w:eastAsia="Times New Roman" w:hAnsi="Times New Roman" w:cs="Times New Roman"/><w:b/><w:bCs/></w:rPr><w:t>Ekler</w:t></w:r></w:p><w:p w:rsidR="00AD2792" w:rsidRDefault="00732E30"><w:pPr><w:numPr><w:ilvl w:val="0"/><w:numId w:val="2"/></w:numPr><w:pBdr><w:top w:val="nil"/><w:left w:val="nil"/><w:bottom w:val="nil"/><w:right w:val="nil"/><w:between w:val="nil"/></w:pBdr><w:spacing w:after="120"/><w:rPr><w:rFonts w:ascii="Times New Roman" w:eastAsia="Times New Roman" w:hAnsi="Times New Roman" w:cs="Times New Roman"/><w:color w:val="000000"/></w:rPr></w:pPr><w:r><w:rPr><w:rFonts w:ascii="Times New Roman" w:eastAsia="Times New Roman" w:hAnsi="Times New Roman" w:cs="Times New Roman"/><w:color w:val="000000"/></w:rPr><w:t>Ödeme Planı</w:t></w:r></w:p><w:p w:rsidR="00AD2792" w:rsidRDefault="00732E30"><w:pPr><w:numPr><w:ilvl w:val="0"/><w:numId w:val="2"/></w:numPr><w:pBdr><w:top w:val="nil"/><w:left w:val="nil"/><w:bottom w:val="nil"/><w:right w:val="nil"/><w:between w:val="nil"/></w:pBdr><w:spacing w:after="120"/><w:rPr><w:rFonts w:ascii="Times New Roman" w:eastAsia="Times New Roman" w:hAnsi="Times New Roman" w:cs="Times New Roman"/><w:color w:val="000000"/></w:rPr></w:pPr><w:r><w:rPr><w:rFonts w:ascii="Times New Roman" w:eastAsia="Times New Roman" w:hAnsi="Times New Roman" w:cs="Times New Roman"/><w:color w:val="000000"/></w:rPr><w:lastRenderedPageBreak/><w:t>İmza sirküleri ve/veya yetki belgesi. </w:t></w:r></w:p><w:p w:rsidR="00AD2792" w:rsidRDefault="00AD2792"><w:pPr><w:spacing w:after="120"/><w:jc w:val="both"/><w:rPr><w:rFonts w:ascii="Times New Roman" w:eastAsia="Times New Roman" w:hAnsi="Times New Roman" w:cs="Times New Roman"/><w:b/><w:bCs/><w:u w:val="single"/></w:rPr></w:pPr></w:p><w:p w:rsidR="00AD2792" w:rsidRDefault="00AD2792"><w:pPr><w:spacing w:after="120"/><w:jc w:val="both"/><w:rPr><w:rFonts w:ascii="Times New Roman" w:eastAsia="Times New Roman" w:hAnsi="Times New Roman" w:cs="Times New Roman"/><w:b/><w:bCs/><w:u w:val="single"/></w:rPr></w:pPr></w:p><w:p w:rsidR="00AD2792" w:rsidRDefault="00732E30"><w:pPr><w:spacing w:after="120"/><w:jc w:val="both"/></w:pPr><w:r><w:rPr><w:rFonts w:ascii="Times New Roman" w:eastAsia="Times New Roman" w:hAnsi="Times New Roman" w:cs="Times New Roman"/><w:b/><w:bCs/><w:u w:val="single"/></w:rPr><w:t>EK-1 ÖDEME PLANI</w:t></w:r></w:p><w:tbl><w:tblPr><w:tblStyle w:val="a"/><w:tblW w:w="9016" w:type="dxa"/><w:tblInd w:w="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508"/><w:gridCol w:w="4508"/></w:tblGrid><w:tr w:rsidR="00AD2792"><w:trPr><w:trHeight w:val="300"/></w:trPr><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 w:rsidR="00AD2792" w:rsidRDefault="00732E30"><w:pPr><w:spacing w:after="120"/><w:jc w:val="center"/></w:pPr><w:r><w:rPr><w:rFonts w:ascii="Times New Roman" w:eastAsia="Times New Roman" w:hAnsi="Times New Roman" w:cs="Times New Roman"/><w:b/><w:bCs/></w:rPr><w:t>ÖDEME TARİHİ</w:t></w:r></w:p></w:tc><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 w:rsidR="00AD2792" w:rsidRDefault="00732E30"><w:pPr><w:spacing w:after="120"/><w:jc w:val="center"/></w:pPr><w:r><w:rPr><w:rFonts w:ascii="Times New Roman" w:eastAsia="Times New Roman" w:hAnsi="Times New Roman" w:cs="Times New Roman"/><w:b/><w:bCs/></w:rPr><w:t>ÖDENECEK MEBLAĞ</w:t></w:r></w:p></w:tc></w:tr><w:tr><w:trPr><w:trHeight w:val="300"/></w:trPr><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w:pPr><w:spacing w:after="120"/><w:jc w:val="center"/></w:pPr><w:r><w:rPr><w:rFonts w:ascii="Times New Roman" w:eastAsia="Times New Roman" w:hAnsi="Times New Roman" w:cs="Times New Roman"/><w:b/><w:bCs/></w:rPr><w:t>@@payment_date1@@</w:t></w:r></w:p></w:tc><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w:pPr><w:spacing w:after="120"/><w:jc w:val="center"/></w:pPr><w:r><w:rPr><w:rFonts w:ascii="Times New Roman" w:eastAsia="Times New Roman" w:hAnsi="Times New Roman" w:cs="Times New Roman"/><w:b/><w:bCs/></w:rPr><w:t xml:space="preserve">@@down_payment1@@ </w:t></w:r></w:p></w:tc></w:tr><w:tr><w:trPr><w:trHeight w:val="300"/></w:trPr><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w:pPr><w:spacing w:after="120"/><w:jc w:val="center"/></w:pPr><w:r><w:rPr><w:rFonts w:ascii="Times New Roman" w:eastAsia="Times New Roman" w:hAnsi="Times New Roman" w:cs="Times New Roman"/><w:b/><w:bCs/></w:rPr><w:t>@@payment_date2@@</w:t></w:r></w:p></w:tc><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w:pPr><w:spacing w:after="120"/><w:jc w:val="center"/></w:pPr><w:r><w:rPr><w:rFonts w:ascii="Times New Roman" w:eastAsia="Times New Roman" w:hAnsi="Times New Roman" w:cs="Times New Roman"/><w:b/><w:bCs/></w:rPr><w:t xml:space="preserve">@@down_payment2@@ </w:t></w:r></w:p></w:tc></w:tr></w:tbl><w:p w:rsidR="00AD2792" w:rsidRDefault="00732E30"><w:pPr><w:spacing w:after="120"/><w:jc w:val="both"/></w:pPr><w:r><w:rPr><w:rFonts w:ascii="Times New Roman" w:eastAsia="Times New Roman" w:hAnsi="Times New Roman" w:cs="Times New Roman"/><w:b/><w:bCs/></w:rPr><w:t xml:space="preserve"> </w:t></w:r></w:p><w:p w:rsidR="00AD2792" w:rsidRDefault="00732E30"><w:pPr><w:spacing w:after="120"/></w:pPr><w:r><w:rPr><w:rFonts w:ascii="Times New Roman" w:eastAsia="Times New Roman" w:hAnsi="Times New Roman" w:cs="Times New Roman"/><w:b/><w:bCs/></w:rPr><w:t>Danışman adına;</w:r><w:r><w:tab/></w:r><w:r><w:tab/></w:r><w:r><w:tab/></w:r><w:r><w:tab/></w:r><w:r><w:tab/></w:r><w:r><w:tab/></w:r><w:r><w:rPr><w:rFonts w:ascii="Times New Roman" w:eastAsia="Times New Roman" w:hAnsi="Times New Roman" w:cs="Times New Roman"/><w:b/><w:bCs/></w:rPr><w:t>Müşteri &amp; Garantör</w:t></w:r></w:p><w:p w:rsidR="00AD2792" w:rsidRDefault="00732E30"><w:pPr><w:spacing w:after="120"/><w:jc w:val="both"/><w:rPr><w:rFonts w:ascii="Times New Roman" w:eastAsia="Times New Roman" w:hAnsi="Times New Roman" w:cs="Times New Roman"/><w:b/><w:bCs/></w:rPr></w:pPr><w:r><w:rPr><w:rFonts w:ascii="Times New Roman" w:eastAsia="Times New Roman" w:hAnsi="Times New Roman" w:cs="Times New Roman"/><w:b/><w:bCs/></w:rPr><w:t>Ahmet SUNGUR</w:r><w:r><w:tab/></w:r><w:r><w:tab/></w:r><w:r><w:tab/></w:r></w:p><w:p w:rsidR="00AD2792" w:rsidRDefault="00AD2792"><w:pPr><w:spacing w:after="120"/></w:pPr></w:p><w:sectPr w:rsidR="00AD2792"><w:pgSz w:w="11906" w:h="16838"/><w:pgMar w:top="1440" w:right="1440" w:bottom="1440" w:left="1440" w:header="708" w:footer="708" w:gutter="0"/><w:pgNumType w:start="1"/><w:cols w:space="708"/></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2AB0262E-7DC7-4018-95C6-752F7728584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embedRegular r:id="rId2" w:fontKey="{6AC8361D-377F-4738-91B9-B63CB473B431}"/>
    <w:embedBold r:id="rId3" w:fontKey="{92623E82-C272-4DBF-954F-82785A32B2C5}"/>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embedRegular r:id="rId4" w:fontKey="{E567A206-A1EB-400A-9B58-608C36D00AE7}"/>
  </w:font>
  <w:font w:name="Georgia">
    <w:panose1 w:val="02040502050405020303"/>
    <w:charset w:val="A2"/>
    <w:family w:val="roman"/>
    <w:pitch w:val="variable"/>
    <w:sig w:usb0="00000287" w:usb1="00000000" w:usb2="00000000" w:usb3="00000000" w:csb0="0000009F" w:csb1="00000000"/>
    <w:embedItalic r:id="rId5" w:fontKey="{EB85A879-71C3-45B2-B462-5B301BBB135A}"/>
  </w:font>
  <w:font w:name="Calibri Light">
    <w:panose1 w:val="020F0302020204030204"/>
    <w:charset w:val="A2"/>
    <w:family w:val="swiss"/>
    <w:pitch w:val="variable"/>
    <w:sig w:usb0="E4002EFF" w:usb1="C200247B" w:usb2="00000009" w:usb3="00000000" w:csb0="000001FF" w:csb1="00000000"/>
    <w:embedRegular r:id="rId6" w:fontKey="{C4CFCAF7-0672-476A-A7BE-0D96032982FA}"/>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52C6E"/>
    <w:multiLevelType w:val="multilevel"/>
    <w:tmpl w:val="6284D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FE60D5"/>
    <w:multiLevelType w:val="multilevel"/>
    <w:tmpl w:val="1C86A4D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F01370"/>
    <w:multiLevelType w:val="multilevel"/>
    <w:tmpl w:val="B62C47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760C0755"/>
    <w:multiLevelType w:val="multilevel"/>
    <w:tmpl w:val="EF8EC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B7177E5"/>
    <w:multiLevelType w:val="multilevel"/>
    <w:tmpl w:val="CA98D7E4"/>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792"/>
    <w:rsid w:val="00727C38"/>
    <w:rsid w:val="00732E30"/>
    <w:rsid w:val="00AD2792"/>
    <w:rsid w:val="00C836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16AB"/>
  <w15:docId w15:val="{3F99604B-1C90-42A5-9D17-E602F3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480" w:after="120"/>
      <w:outlineLvl w:val="0"/>
    </w:pPr>
    <w:rPr>
      <w:b/>
      <w:bCs/>
      <w:sz w:val="48"/>
      <w:szCs w:val="48"/>
    </w:rPr>
  </w:style>
  <w:style w:type="paragraph" w:styleId="Balk2">
    <w:name w:val="heading 2"/>
    <w:basedOn w:val="Normal"/>
    <w:next w:val="Normal"/>
    <w:pPr>
      <w:keepNext/>
      <w:keepLines/>
      <w:spacing w:before="360" w:after="80"/>
      <w:outlineLvl w:val="1"/>
    </w:pPr>
    <w:rPr>
      <w:b/>
      <w:bCs/>
      <w:sz w:val="36"/>
      <w:szCs w:val="36"/>
    </w:rPr>
  </w:style>
  <w:style w:type="paragraph" w:styleId="Balk3">
    <w:name w:val="heading 3"/>
    <w:basedOn w:val="Normal"/>
    <w:next w:val="Normal"/>
    <w:pPr>
      <w:keepNext/>
      <w:keepLines/>
      <w:spacing w:before="280" w:after="80"/>
      <w:outlineLvl w:val="2"/>
    </w:pPr>
    <w:rPr>
      <w:b/>
      <w:bCs/>
      <w:sz w:val="28"/>
      <w:szCs w:val="28"/>
    </w:rPr>
  </w:style>
  <w:style w:type="paragraph" w:styleId="Balk4">
    <w:name w:val="heading 4"/>
    <w:basedOn w:val="Normal"/>
    <w:next w:val="Normal"/>
    <w:pPr>
      <w:keepNext/>
      <w:keepLines/>
      <w:spacing w:before="240" w:after="40"/>
      <w:outlineLvl w:val="3"/>
    </w:pPr>
    <w:rPr>
      <w:b/>
      <w:bCs/>
      <w:sz w:val="24"/>
      <w:szCs w:val="24"/>
    </w:rPr>
  </w:style>
  <w:style w:type="paragraph" w:styleId="Balk5">
    <w:name w:val="heading 5"/>
    <w:basedOn w:val="Normal"/>
    <w:next w:val="Normal"/>
    <w:pPr>
      <w:keepNext/>
      <w:keepLines/>
      <w:spacing w:before="220" w:after="40"/>
      <w:outlineLvl w:val="4"/>
    </w:pPr>
    <w:rPr>
      <w:b/>
      <w:bCs/>
    </w:rPr>
  </w:style>
  <w:style w:type="paragraph" w:styleId="Balk6">
    <w:name w:val="heading 6"/>
    <w:basedOn w:val="Normal"/>
    <w:next w:val="Normal"/>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before="480" w:after="120"/>
    </w:pPr>
    <w:rPr>
      <w:b/>
      <w:bCs/>
      <w:sz w:val="72"/>
      <w:szCs w:val="72"/>
    </w:rPr>
  </w:style>
  <w:style w:type="paragraph" w:styleId="ListeParagraf">
    <w:name w:val="List Paragraph"/>
    <w:basedOn w:val="Normal"/>
    <w:uiPriority w:val="34"/>
    <w:qFormat/>
    <w:pPr>
      <w:ind w:left="720"/>
      <w:contextualSpacing/>
    </w:p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C551D"/>
    <w:pPr>
      <w:spacing w:before="100" w:beforeAutospacing="1" w:after="100" w:afterAutospacing="1" w:line="240" w:lineRule="auto"/>
    </w:pPr>
    <w:rPr>
      <w:rFonts w:ascii="Times New Roman" w:eastAsia="Times New Roman" w:hAnsi="Times New Roman" w:cs="Times New Roman"/>
      <w:sz w:val="24"/>
      <w:szCs w:val="24"/>
    </w:rPr>
  </w:style>
  <w:style w:type="paragraph" w:styleId="BalonMetni">
    <w:name w:val="Balloon Text"/>
    <w:basedOn w:val="Normal"/>
    <w:link w:val="BalonMetniChar"/>
    <w:uiPriority w:val="99"/>
    <w:semiHidden/>
    <w:unhideWhenUsed/>
    <w:rsid w:val="009C551D"/>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551D"/>
    <w:rPr>
      <w:rFonts w:ascii="Segoe UI" w:hAnsi="Segoe UI" w:cs="Segoe UI"/>
      <w:sz w:val="18"/>
      <w:szCs w:val="18"/>
    </w:rPr>
  </w:style>
  <w:style w:type="paragraph" w:styleId="Altyaz">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E2unIh4mpolYDLNooSSZzJ4Yg==">CgMxLjA4AHIhMXJkQXRrRE9jY2JKbDRhUWhJel9Xd3FTY1FSMUlKQVBU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1585</Words>
  <Characters>9039</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Faik Karaarslan</dc:creator>
  <cp:lastModifiedBy>Lenovo</cp:lastModifiedBy>
  <cp:revision>5</cp:revision>
  <dcterms:created xsi:type="dcterms:W3CDTF">2023-10-06T06:33:00Z</dcterms:created>
  <dcterms:modified xsi:type="dcterms:W3CDTF">2026-05-12T12:20:00Z</dcterms:modified>
</cp:coreProperties>
</file>