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2BAAE"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0" w:name="_Toc629188147"/>
      <w:r>
        <w:rPr>
          <w:rFonts w:hint="eastAsia"/>
          <w:sz w:val="32"/>
          <w:szCs w:val="32"/>
          <w:lang w:val="en-US" w:eastAsia="zh-CN"/>
        </w:rPr>
        <w:t>宏观金融环境模块因子量化模型解读以及使用说明</w:t>
      </w:r>
      <w:bookmarkEnd w:id="0"/>
    </w:p>
    <w:p w14:paraId="404B4728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版本：V1.3</w:t>
      </w:r>
    </w:p>
    <w:p w14:paraId="2A932A61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初版</w:t>
      </w:r>
      <w:r>
        <w:rPr>
          <w:rFonts w:hint="eastAsia"/>
          <w:sz w:val="21"/>
          <w:szCs w:val="21"/>
        </w:rPr>
        <w:t>日期：2026-01-23</w:t>
      </w:r>
    </w:p>
    <w:p w14:paraId="3C7181CC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更新日期：2026-02-24</w:t>
      </w:r>
    </w:p>
    <w:p w14:paraId="6DDBBBB1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*新增加E/F 板块解释，以及首页面板补充工具解读。</w:t>
      </w:r>
      <w:bookmarkStart w:id="15" w:name="_GoBack"/>
      <w:bookmarkEnd w:id="15"/>
    </w:p>
    <w:p w14:paraId="0D58528F">
      <w:pPr>
        <w:bidi w:val="0"/>
        <w:spacing w:line="240" w:lineRule="auto"/>
        <w:rPr>
          <w:rFonts w:hint="eastAsia"/>
          <w:sz w:val="21"/>
          <w:szCs w:val="21"/>
        </w:rPr>
      </w:pPr>
    </w:p>
    <w:p w14:paraId="4A8CFAE0">
      <w:pPr>
        <w:bidi w:val="0"/>
        <w:spacing w:line="240" w:lineRule="auto"/>
        <w:rPr>
          <w:rFonts w:hint="eastAsia"/>
          <w:sz w:val="21"/>
          <w:szCs w:val="21"/>
        </w:rPr>
      </w:pPr>
    </w:p>
    <w:p w14:paraId="6EB8C154">
      <w:pPr>
        <w:bidi w:val="0"/>
        <w:spacing w:line="240" w:lineRule="auto"/>
        <w:rPr>
          <w:rFonts w:hint="eastAsia"/>
          <w:sz w:val="21"/>
          <w:szCs w:val="21"/>
        </w:rPr>
      </w:pPr>
    </w:p>
    <w:p w14:paraId="483857FA">
      <w:pPr>
        <w:bidi w:val="0"/>
        <w:spacing w:line="240" w:lineRule="auto"/>
        <w:rPr>
          <w:rFonts w:hint="eastAsia"/>
          <w:sz w:val="21"/>
          <w:szCs w:val="21"/>
        </w:rPr>
      </w:pPr>
    </w:p>
    <w:p w14:paraId="286C5092">
      <w:pPr>
        <w:bidi w:val="0"/>
        <w:spacing w:line="240" w:lineRule="auto"/>
        <w:rPr>
          <w:rFonts w:hint="eastAsia"/>
          <w:sz w:val="21"/>
          <w:szCs w:val="21"/>
        </w:rPr>
      </w:pPr>
    </w:p>
    <w:p w14:paraId="5ED73E97">
      <w:pPr>
        <w:bidi w:val="0"/>
        <w:spacing w:line="240" w:lineRule="auto"/>
        <w:rPr>
          <w:rFonts w:hint="eastAsia"/>
          <w:sz w:val="21"/>
          <w:szCs w:val="21"/>
        </w:rPr>
      </w:pPr>
    </w:p>
    <w:p w14:paraId="26F0758F">
      <w:pPr>
        <w:bidi w:val="0"/>
        <w:spacing w:line="240" w:lineRule="auto"/>
        <w:rPr>
          <w:rFonts w:hint="eastAsia"/>
          <w:sz w:val="21"/>
          <w:szCs w:val="21"/>
        </w:rPr>
      </w:pPr>
    </w:p>
    <w:p w14:paraId="26AECB63">
      <w:pPr>
        <w:bidi w:val="0"/>
        <w:spacing w:line="240" w:lineRule="auto"/>
        <w:rPr>
          <w:rFonts w:hint="eastAsia"/>
          <w:sz w:val="21"/>
          <w:szCs w:val="21"/>
        </w:rPr>
      </w:pPr>
    </w:p>
    <w:p w14:paraId="6611676B">
      <w:pPr>
        <w:bidi w:val="0"/>
        <w:spacing w:line="240" w:lineRule="auto"/>
        <w:rPr>
          <w:rFonts w:hint="eastAsia"/>
          <w:sz w:val="21"/>
          <w:szCs w:val="21"/>
        </w:rPr>
      </w:pPr>
    </w:p>
    <w:p w14:paraId="73CA72E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61132964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025A502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E5722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_Toc629188147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宏观金融环境模块因子量化模型解读以及使用说明</w:t>
          </w:r>
          <w:r>
            <w:tab/>
          </w:r>
          <w:r>
            <w:fldChar w:fldCharType="begin"/>
          </w:r>
          <w:r>
            <w:instrText xml:space="preserve"> PAGEREF _Toc629188147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22A9E4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_Toc555708801 </w:instrText>
          </w:r>
          <w:r>
            <w:fldChar w:fldCharType="separate"/>
          </w:r>
          <w:r>
            <w:rPr>
              <w:rFonts w:hint="eastAsia"/>
            </w:rPr>
            <w:t>1. 模型</w:t>
          </w:r>
          <w:r>
            <w:rPr>
              <w:rFonts w:hint="eastAsia"/>
              <w:lang w:val="en-US" w:eastAsia="zh-CN"/>
            </w:rPr>
            <w:t>意义</w:t>
          </w:r>
          <w:r>
            <w:tab/>
          </w:r>
          <w:r>
            <w:fldChar w:fldCharType="begin"/>
          </w:r>
          <w:r>
            <w:instrText xml:space="preserve"> PAGEREF _Toc555708801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852F00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_Toc391437604 </w:instrText>
          </w:r>
          <w:r>
            <w:fldChar w:fldCharType="separate"/>
          </w:r>
          <w:r>
            <w:rPr>
              <w:rFonts w:hint="eastAsia"/>
            </w:rPr>
            <w:t>2. 设计</w:t>
          </w:r>
          <w:r>
            <w:rPr>
              <w:rFonts w:hint="eastAsia"/>
              <w:lang w:val="en-US" w:eastAsia="zh-CN"/>
            </w:rPr>
            <w:t>逻辑</w:t>
          </w:r>
          <w:r>
            <w:tab/>
          </w:r>
          <w:r>
            <w:fldChar w:fldCharType="begin"/>
          </w:r>
          <w:r>
            <w:instrText xml:space="preserve"> PAGEREF _Toc391437604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C974F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_Toc1149399667 </w:instrText>
          </w:r>
          <w:r>
            <w:fldChar w:fldCharType="separate"/>
          </w:r>
          <w:r>
            <w:rPr>
              <w:rFonts w:hint="eastAsia"/>
            </w:rPr>
            <w:t>3. 因子体系与量化逻辑</w:t>
          </w:r>
          <w:r>
            <w:tab/>
          </w:r>
          <w:r>
            <w:fldChar w:fldCharType="begin"/>
          </w:r>
          <w:r>
            <w:instrText xml:space="preserve"> PAGEREF _Toc1149399667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263D1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_Toc1344798504 </w:instrText>
          </w:r>
          <w:r>
            <w:fldChar w:fldCharType="separate"/>
          </w:r>
          <w:r>
            <w:rPr>
              <w:rFonts w:hint="eastAsia"/>
            </w:rPr>
            <w:t>4. 信号解读与决策映射</w:t>
          </w:r>
          <w:r>
            <w:tab/>
          </w:r>
          <w:r>
            <w:fldChar w:fldCharType="begin"/>
          </w:r>
          <w:r>
            <w:instrText xml:space="preserve"> PAGEREF _Toc1344798504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B50A48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_Toc1910555700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 经济数据基本面</w:t>
          </w:r>
          <w:r>
            <w:tab/>
          </w:r>
          <w:r>
            <w:fldChar w:fldCharType="begin"/>
          </w:r>
          <w:r>
            <w:instrText xml:space="preserve"> PAGEREF _Toc1910555700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A8CC4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_Toc1534159956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 标准作业程序 (SOP) - 每日监测流程</w:t>
          </w:r>
          <w:r>
            <w:tab/>
          </w:r>
          <w:r>
            <w:fldChar w:fldCharType="begin"/>
          </w:r>
          <w:r>
            <w:instrText xml:space="preserve"> PAGEREF _Toc1534159956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2066DC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_Toc1937714610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 局限性与风控</w:t>
          </w:r>
          <w:r>
            <w:tab/>
          </w:r>
          <w:r>
            <w:fldChar w:fldCharType="begin"/>
          </w:r>
          <w:r>
            <w:instrText xml:space="preserve"> PAGEREF _Toc1937714610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2C4C021">
          <w:r>
            <w:fldChar w:fldCharType="end"/>
          </w:r>
        </w:p>
      </w:sdtContent>
    </w:sdt>
    <w:p w14:paraId="0E30A887"/>
    <w:p w14:paraId="6E9AB21E">
      <w:pPr>
        <w:rPr>
          <w:rFonts w:hint="eastAsia"/>
        </w:rPr>
      </w:pPr>
      <w:r>
        <w:rPr>
          <w:rFonts w:hint="eastAsia"/>
        </w:rPr>
        <w:br w:type="page"/>
      </w:r>
    </w:p>
    <w:p w14:paraId="03A70A67">
      <w:pPr>
        <w:pStyle w:val="4"/>
        <w:bidi w:val="0"/>
        <w:outlineLvl w:val="0"/>
        <w:rPr>
          <w:rFonts w:hint="eastAsia" w:eastAsia="宋体"/>
          <w:color w:val="auto"/>
          <w:lang w:val="en-US" w:eastAsia="zh-CN"/>
        </w:rPr>
      </w:pPr>
      <w:bookmarkStart w:id="1" w:name="_Toc555708801"/>
      <w:bookmarkStart w:id="2" w:name="_1. 模型意义"/>
      <w:r>
        <w:rPr>
          <w:rFonts w:hint="eastAsia"/>
          <w:color w:val="auto"/>
        </w:rPr>
        <w:fldChar w:fldCharType="begin"/>
      </w:r>
      <w:r>
        <w:rPr>
          <w:rFonts w:hint="eastAsia"/>
          <w:color w:val="auto"/>
        </w:rPr>
        <w:instrText xml:space="preserve"> HYPERLINK \l "_1. 模型意义" </w:instrText>
      </w:r>
      <w:r>
        <w:rPr>
          <w:rFonts w:hint="eastAsia"/>
          <w:color w:val="auto"/>
        </w:rPr>
        <w:fldChar w:fldCharType="separate"/>
      </w:r>
      <w:r>
        <w:rPr>
          <w:rStyle w:val="15"/>
          <w:rFonts w:hint="eastAsia"/>
          <w:color w:val="auto"/>
        </w:rPr>
        <w:t>1. 模型</w:t>
      </w:r>
      <w:r>
        <w:rPr>
          <w:rStyle w:val="15"/>
          <w:rFonts w:hint="eastAsia"/>
          <w:color w:val="auto"/>
          <w:lang w:val="en-US" w:eastAsia="zh-CN"/>
        </w:rPr>
        <w:t>意义</w:t>
      </w:r>
      <w:r>
        <w:rPr>
          <w:rFonts w:hint="eastAsia"/>
          <w:color w:val="auto"/>
        </w:rPr>
        <w:fldChar w:fldCharType="end"/>
      </w:r>
      <w:bookmarkEnd w:id="1"/>
      <w:bookmarkEnd w:id="2"/>
    </w:p>
    <w:p w14:paraId="2EE6786F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宏观金融环境量化监测模型基于高频数据的全球宏观</w:t>
      </w:r>
      <w:r>
        <w:rPr>
          <w:rFonts w:hint="eastAsia"/>
          <w:sz w:val="21"/>
          <w:szCs w:val="21"/>
          <w:lang w:val="en-US" w:eastAsia="zh-CN"/>
        </w:rPr>
        <w:t>环境得分</w:t>
      </w:r>
      <w:r>
        <w:rPr>
          <w:rFonts w:hint="eastAsia"/>
          <w:sz w:val="21"/>
          <w:szCs w:val="21"/>
        </w:rPr>
        <w:t>系统。本</w:t>
      </w:r>
      <w:r>
        <w:rPr>
          <w:rFonts w:hint="eastAsia"/>
          <w:sz w:val="21"/>
          <w:szCs w:val="21"/>
          <w:lang w:val="en-US" w:eastAsia="zh-CN"/>
        </w:rPr>
        <w:t>模型</w:t>
      </w:r>
      <w:r>
        <w:rPr>
          <w:rFonts w:hint="eastAsia"/>
          <w:sz w:val="21"/>
          <w:szCs w:val="21"/>
        </w:rPr>
        <w:t>旨在解决传统宏观分析中“数据碎片化”、“定性描述主观化”及“信号滞后”</w:t>
      </w:r>
      <w:r>
        <w:rPr>
          <w:rFonts w:hint="eastAsia"/>
          <w:sz w:val="21"/>
          <w:szCs w:val="21"/>
          <w:lang w:val="en-US" w:eastAsia="zh-CN"/>
        </w:rPr>
        <w:t>问题</w:t>
      </w:r>
      <w:r>
        <w:rPr>
          <w:rFonts w:hint="eastAsia"/>
          <w:sz w:val="21"/>
          <w:szCs w:val="21"/>
        </w:rPr>
        <w:t>。</w:t>
      </w:r>
    </w:p>
    <w:p w14:paraId="7BDD4F28">
      <w:pPr>
        <w:bidi w:val="0"/>
        <w:spacing w:line="240" w:lineRule="auto"/>
        <w:rPr>
          <w:rFonts w:hint="eastAsia"/>
          <w:sz w:val="21"/>
          <w:szCs w:val="21"/>
        </w:rPr>
      </w:pPr>
    </w:p>
    <w:p w14:paraId="1815ABDB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系统通过实时抓取美联储（FRED）、公开市场的高频金融数据，利用滚动 Z-Score 标准化算法，</w:t>
      </w:r>
      <w:r>
        <w:rPr>
          <w:rFonts w:hint="eastAsia"/>
          <w:sz w:val="21"/>
          <w:szCs w:val="21"/>
          <w:lang w:val="en-US" w:eastAsia="zh-CN"/>
        </w:rPr>
        <w:t>基准偏离度算法，靶心偏离算法，</w:t>
      </w:r>
      <w:r>
        <w:rPr>
          <w:rFonts w:hint="eastAsia"/>
          <w:sz w:val="21"/>
          <w:szCs w:val="21"/>
        </w:rPr>
        <w:t>将系统流动性、资金成本、国债结构、实际利率及外部冲击五个维度降维处理，合成“宏观综合得分” (0-100)。</w:t>
      </w:r>
    </w:p>
    <w:p w14:paraId="43D7C0E3">
      <w:pPr>
        <w:bidi w:val="0"/>
        <w:spacing w:line="240" w:lineRule="auto"/>
        <w:rPr>
          <w:rFonts w:hint="eastAsia"/>
          <w:sz w:val="21"/>
          <w:szCs w:val="21"/>
        </w:rPr>
      </w:pPr>
    </w:p>
    <w:p w14:paraId="02981634">
      <w:pPr>
        <w:bidi w:val="0"/>
        <w:spacing w:line="240" w:lineRule="auto"/>
        <w:rPr>
          <w:rFonts w:hint="default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当市场平稳时，A/B/C/D/E/F/G 按照 20/20/15/15/15/7.5/7.5 权重线性叠加，反映整体水位。F/G作为恐慌以及风险指数，设定敏感度较高。所以为了减少对以周频观测为主的市场得分的分数影响，加权比重占比偏低，但是并不代表相对其他而已不那么重要，反而是每次都需要及时关注这两模块变化来观察市场动向。</w:t>
      </w:r>
    </w:p>
    <w:p w14:paraId="20BAA65F">
      <w:pPr>
        <w:bidi w:val="0"/>
        <w:spacing w:line="240" w:lineRule="auto"/>
        <w:rPr>
          <w:rFonts w:hint="eastAsia"/>
          <w:sz w:val="21"/>
          <w:szCs w:val="21"/>
        </w:rPr>
      </w:pPr>
    </w:p>
    <w:p w14:paraId="0285E15E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该得分作为</w:t>
      </w:r>
      <w:r>
        <w:rPr>
          <w:rFonts w:hint="eastAsia"/>
          <w:sz w:val="21"/>
          <w:szCs w:val="21"/>
          <w:lang w:val="en-US" w:eastAsia="zh-CN"/>
        </w:rPr>
        <w:t>宏观环境以及</w:t>
      </w:r>
      <w:r>
        <w:rPr>
          <w:rFonts w:hint="eastAsia"/>
          <w:sz w:val="21"/>
          <w:szCs w:val="21"/>
        </w:rPr>
        <w:t>资产配置的</w:t>
      </w:r>
      <w:r>
        <w:rPr>
          <w:rFonts w:hint="eastAsia"/>
          <w:sz w:val="21"/>
          <w:szCs w:val="21"/>
          <w:lang w:val="en-US" w:eastAsia="zh-CN"/>
        </w:rPr>
        <w:t>参考指标</w:t>
      </w:r>
      <w:r>
        <w:rPr>
          <w:rFonts w:hint="eastAsia"/>
          <w:sz w:val="21"/>
          <w:szCs w:val="21"/>
        </w:rPr>
        <w:t>，为投资决策提供客观的Beta择时依据及风险敞口管理建议。</w:t>
      </w:r>
      <w:r>
        <w:rPr>
          <w:rFonts w:hint="eastAsia"/>
          <w:sz w:val="21"/>
          <w:szCs w:val="21"/>
          <w:lang w:val="en-US" w:eastAsia="zh-CN"/>
        </w:rPr>
        <w:t>注意：得分本身的意义不是在于预测明天的涨跌，而是为了判断宏观风险，历史回测显示，当配合该得分同时使用双均线交易策略时，当综合得分 在40- 60 时，可以得到高回报盈亏比。</w:t>
      </w:r>
    </w:p>
    <w:p w14:paraId="3349B7CC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032B1C93">
      <w:pPr>
        <w:bidi w:val="0"/>
        <w:spacing w:line="240" w:lineRule="auto"/>
        <w:rPr>
          <w:rFonts w:hint="default" w:eastAsiaTheme="minorEastAsia"/>
          <w:sz w:val="21"/>
          <w:szCs w:val="21"/>
          <w:lang w:val="en-US" w:eastAsia="zh-CN"/>
        </w:rPr>
      </w:pPr>
    </w:p>
    <w:p w14:paraId="275E7299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5A83A">
      <w:pPr>
        <w:pStyle w:val="4"/>
        <w:bidi w:val="0"/>
        <w:outlineLvl w:val="0"/>
        <w:rPr>
          <w:rFonts w:hint="eastAsia" w:eastAsia="宋体"/>
          <w:color w:val="auto"/>
          <w:lang w:val="en-US" w:eastAsia="zh-CN"/>
        </w:rPr>
      </w:pPr>
      <w:bookmarkStart w:id="3" w:name="_Toc391437604"/>
      <w:bookmarkStart w:id="4" w:name="_2. 设计逻辑"/>
      <w:r>
        <w:rPr>
          <w:rFonts w:hint="eastAsia"/>
          <w:color w:val="auto"/>
        </w:rPr>
        <w:fldChar w:fldCharType="begin"/>
      </w:r>
      <w:r>
        <w:rPr>
          <w:rFonts w:hint="eastAsia"/>
          <w:color w:val="auto"/>
        </w:rPr>
        <w:instrText xml:space="preserve"> HYPERLINK \l "_2. 设计逻辑" </w:instrText>
      </w:r>
      <w:r>
        <w:rPr>
          <w:rFonts w:hint="eastAsia"/>
          <w:color w:val="auto"/>
        </w:rPr>
        <w:fldChar w:fldCharType="separate"/>
      </w:r>
      <w:r>
        <w:rPr>
          <w:rStyle w:val="15"/>
          <w:rFonts w:hint="eastAsia"/>
          <w:color w:val="auto"/>
        </w:rPr>
        <w:t>2. 设计</w:t>
      </w:r>
      <w:r>
        <w:rPr>
          <w:rStyle w:val="15"/>
          <w:rFonts w:hint="eastAsia"/>
          <w:color w:val="auto"/>
          <w:lang w:val="en-US" w:eastAsia="zh-CN"/>
        </w:rPr>
        <w:t>逻辑</w:t>
      </w:r>
      <w:r>
        <w:rPr>
          <w:rFonts w:hint="eastAsia"/>
          <w:color w:val="auto"/>
        </w:rPr>
        <w:fldChar w:fldCharType="end"/>
      </w:r>
      <w:bookmarkEnd w:id="3"/>
    </w:p>
    <w:bookmarkEnd w:id="4"/>
    <w:p w14:paraId="45473078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本模型遵循自上而下的流动性传导机制，模拟资金从央行流向实体经济的全过程：</w:t>
      </w:r>
    </w:p>
    <w:p w14:paraId="55F9FCFC">
      <w:pPr>
        <w:bidi w:val="0"/>
        <w:spacing w:line="240" w:lineRule="auto"/>
        <w:rPr>
          <w:rFonts w:hint="eastAsia"/>
          <w:sz w:val="21"/>
          <w:szCs w:val="21"/>
        </w:rPr>
      </w:pPr>
    </w:p>
    <w:p w14:paraId="69A28F29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源头：美联储是否在扩表</w:t>
      </w:r>
      <w:r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或者缩表</w:t>
      </w: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？（A模块：系统流动性）</w:t>
      </w:r>
    </w:p>
    <w:p w14:paraId="541B964E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美联储资产负债表、TGA、ON RRP、净流动性等决定系统里总共有多少水</w:t>
      </w:r>
    </w:p>
    <w:p w14:paraId="50A797AE">
      <w:pPr>
        <w:bidi w:val="0"/>
        <w:spacing w:line="240" w:lineRule="auto"/>
        <w:rPr>
          <w:rFonts w:hint="eastAsia"/>
          <w:sz w:val="21"/>
          <w:szCs w:val="21"/>
        </w:rPr>
      </w:pPr>
    </w:p>
    <w:p w14:paraId="2FE01918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=&gt; </w:t>
      </w:r>
      <w:r>
        <w:rPr>
          <w:rFonts w:hint="eastAsia"/>
          <w:sz w:val="21"/>
          <w:szCs w:val="21"/>
          <w:lang w:val="en-US" w:eastAsia="zh-CN"/>
        </w:rPr>
        <w:t>水库与上游来水</w:t>
      </w:r>
    </w:p>
    <w:p w14:paraId="21B4E27F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扩表/净流动性上升：等于上游开闸放水，系统总水量抬升。</w:t>
      </w:r>
    </w:p>
    <w:p w14:paraId="25339956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缩表/净流动性下降：等于关闸或抽水，水量变少，下游水位先紧后松或直接下行。</w:t>
      </w:r>
    </w:p>
    <w:p w14:paraId="11A887DF">
      <w:pPr>
        <w:bidi w:val="0"/>
        <w:spacing w:line="240" w:lineRule="auto"/>
        <w:rPr>
          <w:rFonts w:hint="eastAsia"/>
          <w:sz w:val="21"/>
          <w:szCs w:val="21"/>
        </w:rPr>
      </w:pPr>
    </w:p>
    <w:p w14:paraId="59343974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管道：银行间市场是否通畅？（B模块：资金价格与摩擦）</w:t>
      </w:r>
    </w:p>
    <w:p w14:paraId="018AACA8">
      <w:pPr>
        <w:bidi w:val="0"/>
        <w:spacing w:line="240" w:lineRule="auto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利率走廊、短端资金价格、回购市场、利差/摩擦指标</w:t>
      </w:r>
    </w:p>
    <w:p w14:paraId="5DA4AE67">
      <w:pPr>
        <w:bidi w:val="0"/>
        <w:spacing w:line="240" w:lineRule="auto"/>
        <w:rPr>
          <w:rFonts w:hint="eastAsia"/>
          <w:sz w:val="21"/>
          <w:szCs w:val="21"/>
          <w:lang w:val="en-US"/>
        </w:rPr>
      </w:pPr>
    </w:p>
    <w:p w14:paraId="263C7B55">
      <w:pPr>
        <w:bidi w:val="0"/>
        <w:spacing w:line="240" w:lineRule="auto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=&gt; 水压与管阻</w:t>
      </w:r>
    </w:p>
    <w:p w14:paraId="06A7A640">
      <w:pPr>
        <w:bidi w:val="0"/>
        <w:spacing w:line="240" w:lineRule="auto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有水不等于能流到位，关键看管道是否通畅、阻力多大。</w:t>
      </w:r>
      <w:r>
        <w:rPr>
          <w:rFonts w:hint="default"/>
          <w:sz w:val="21"/>
          <w:szCs w:val="21"/>
          <w:lang w:val="en-US"/>
        </w:rPr>
        <w:br w:type="textWrapping"/>
      </w:r>
      <w:r>
        <w:rPr>
          <w:rFonts w:hint="default"/>
          <w:sz w:val="21"/>
          <w:szCs w:val="21"/>
          <w:lang w:val="en-US"/>
        </w:rPr>
        <w:t>资金价格上升、摩擦变大：像管道堵塞或阀门变窄，水压升高但流量反而下不去。</w:t>
      </w:r>
    </w:p>
    <w:p w14:paraId="0380CDBD">
      <w:pPr>
        <w:bidi w:val="0"/>
        <w:spacing w:line="240" w:lineRule="auto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资金价格平稳、摩擦低：像管网通畅，水能高效输送到下游金融资产和信用创造环节。</w:t>
      </w:r>
    </w:p>
    <w:p w14:paraId="5DBB4050">
      <w:pPr>
        <w:bidi w:val="0"/>
        <w:spacing w:line="240" w:lineRule="auto"/>
        <w:rPr>
          <w:rFonts w:hint="default"/>
          <w:sz w:val="21"/>
          <w:szCs w:val="21"/>
          <w:lang w:val="en-US"/>
        </w:rPr>
      </w:pPr>
    </w:p>
    <w:p w14:paraId="5DE4B2E4">
      <w:pPr>
        <w:bidi w:val="0"/>
        <w:spacing w:line="240" w:lineRule="auto"/>
        <w:rPr>
          <w:rFonts w:hint="eastAsia"/>
          <w:sz w:val="21"/>
          <w:szCs w:val="21"/>
        </w:rPr>
      </w:pPr>
    </w:p>
    <w:p w14:paraId="64F0EB92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方向：经济周期处于哪个阶段？（C模块：期限结构）</w:t>
      </w:r>
    </w:p>
    <w:p w14:paraId="2108690F">
      <w:pPr>
        <w:bidi w:val="0"/>
        <w:spacing w:line="24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期限结构（曲线陡峭/倒挂/再陡峭化）就像河道坡度，决定水流“更愿意”往哪里去</w:t>
      </w:r>
    </w:p>
    <w:p w14:paraId="5AFE53F8">
      <w:pPr>
        <w:bidi w:val="0"/>
        <w:spacing w:line="24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0F4FB5D">
      <w:pPr>
        <w:bidi w:val="0"/>
        <w:spacing w:line="240" w:lineRule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=&gt; 河道坡度与流向</w:t>
      </w:r>
    </w:p>
    <w:p w14:paraId="55EEB7DC">
      <w:pPr>
        <w:bidi w:val="0"/>
        <w:spacing w:line="24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曲线陡峭：像坡度合理，水愿意往信用/风险资产河段扩散，资金做期限/信用转换更有利。</w:t>
      </w:r>
    </w:p>
    <w:p w14:paraId="1A52275E">
      <w:pPr>
        <w:bidi w:val="0"/>
        <w:spacing w:line="240" w:lineRule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曲线倒挂：像上游落差异常，水更容易在短端“打转”或停在安全池里，风险偏好传导受限。</w:t>
      </w:r>
    </w:p>
    <w:p w14:paraId="52F66FC7">
      <w:pPr>
        <w:bidi w:val="0"/>
        <w:spacing w:line="240" w:lineRule="auto"/>
        <w:rPr>
          <w:rFonts w:hint="eastAsia"/>
          <w:b/>
          <w:bCs/>
          <w:sz w:val="21"/>
          <w:szCs w:val="21"/>
        </w:rPr>
      </w:pPr>
    </w:p>
    <w:p w14:paraId="69E95DAC">
      <w:pPr>
        <w:bidi w:val="0"/>
        <w:spacing w:line="240" w:lineRule="auto"/>
        <w:rPr>
          <w:rFonts w:hint="eastAsia"/>
          <w:sz w:val="21"/>
          <w:szCs w:val="21"/>
        </w:rPr>
      </w:pPr>
    </w:p>
    <w:p w14:paraId="76E4C2F7">
      <w:pPr>
        <w:bidi w:val="0"/>
        <w:spacing w:line="240" w:lineRule="auto"/>
        <w:rPr>
          <w:rFonts w:hint="eastAsia"/>
          <w:sz w:val="21"/>
          <w:szCs w:val="21"/>
        </w:rPr>
      </w:pPr>
    </w:p>
    <w:p w14:paraId="76AEB23A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估值</w:t>
      </w:r>
      <w:r>
        <w:rPr>
          <w:rFonts w:hint="default"/>
          <w:b/>
          <w:bCs/>
          <w:color w:val="F2BA02" w:themeColor="accent3"/>
          <w:sz w:val="21"/>
          <w:szCs w:val="21"/>
          <w:lang w:val="en-US"/>
          <w14:textFill>
            <w14:solidFill>
              <w14:schemeClr w14:val="accent3"/>
            </w14:solidFill>
          </w14:textFill>
        </w:rPr>
        <w:t>:</w:t>
      </w: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：资产定价的锚在哪里？（D模块：实际利率）</w:t>
      </w:r>
    </w:p>
    <w:p w14:paraId="27E1C822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即使水流到了下游，资产“能涨多少”取决于水位基准线在哪里。</w:t>
      </w:r>
    </w:p>
    <w:p w14:paraId="71D2C1BC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6CA90DEE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=&gt; 水位基准线</w:t>
      </w:r>
    </w:p>
    <w:p w14:paraId="097C9A83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实际利率是跨资产的折现锚，相当于你拿尺子量水位的零点：</w:t>
      </w:r>
    </w:p>
    <w:p w14:paraId="6798A82D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实际利率下行：基准线下降，同样水量会显得“更深”，估值容忍度提升，风险资产更容易抬升水位。</w:t>
      </w:r>
    </w:p>
    <w:p w14:paraId="369DAE33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实际利率上行：基准线抬高，下游水位看起来不够深，估值被压缩。</w:t>
      </w:r>
    </w:p>
    <w:p w14:paraId="67BB91B7">
      <w:pPr>
        <w:bidi w:val="0"/>
        <w:spacing w:line="240" w:lineRule="auto"/>
        <w:rPr>
          <w:rFonts w:hint="eastAsia"/>
          <w:sz w:val="21"/>
          <w:szCs w:val="21"/>
        </w:rPr>
      </w:pPr>
    </w:p>
    <w:p w14:paraId="6EF259F7">
      <w:pPr>
        <w:bidi w:val="0"/>
        <w:spacing w:line="240" w:lineRule="auto"/>
        <w:rPr>
          <w:rFonts w:hint="eastAsia"/>
          <w:sz w:val="21"/>
          <w:szCs w:val="21"/>
        </w:rPr>
      </w:pPr>
    </w:p>
    <w:p w14:paraId="5063F694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边界：外部环境是否稳定？（E模块：外部冲击）</w:t>
      </w:r>
    </w:p>
    <w:p w14:paraId="2886F55C">
      <w:pPr>
        <w:bidi w:val="0"/>
        <w:spacing w:line="240" w:lineRule="auto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外部冲击决定这套系统的边界条件：支流、洪水、干旱、堤坝风险都会改变水流路径。</w:t>
      </w:r>
    </w:p>
    <w:p w14:paraId="5C2E43D0">
      <w:pPr>
        <w:bidi w:val="0"/>
        <w:spacing w:line="240" w:lineRule="auto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8A5531B">
      <w:pPr>
        <w:bidi w:val="0"/>
        <w:spacing w:line="240" w:lineRule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=&gt; 流域边界与外部水患管理</w:t>
      </w:r>
    </w:p>
    <w:p w14:paraId="4C37FD6C">
      <w:pPr>
        <w:bidi w:val="0"/>
        <w:spacing w:line="240" w:lineRule="auto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一旦美元走强、日元端闸门变化、能源冲击抬头，系统会优先泄洪到避险池，风险资产河段就会退水。只有边界稳定，水才会按常规路径留在风险端，risk-on 才可持续。</w:t>
      </w:r>
    </w:p>
    <w:p w14:paraId="063E18F0">
      <w:pPr>
        <w:bidi w:val="0"/>
        <w:spacing w:line="240" w:lineRule="auto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60E609B">
      <w:pPr>
        <w:bidi w:val="0"/>
        <w:spacing w:line="240" w:lineRule="auto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93DE9FF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水质</w:t>
      </w: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：</w:t>
      </w:r>
      <w:r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资金是否能渗透到经济体</w:t>
      </w: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？（</w:t>
      </w:r>
      <w:r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F</w:t>
      </w: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模块：信用</w:t>
      </w:r>
      <w:r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压力</w:t>
      </w:r>
      <w:r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  <w:t>）</w:t>
      </w:r>
    </w:p>
    <w:p w14:paraId="6C9FDD17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</w:rPr>
      </w:pPr>
      <w:r>
        <w:rPr>
          <w:rFonts w:hint="eastAsia"/>
          <w:b w:val="0"/>
          <w:bCs w:val="0"/>
          <w:color w:val="auto"/>
          <w:sz w:val="21"/>
          <w:szCs w:val="21"/>
        </w:rPr>
        <w:t>信用市场是连接金融资本与实体产业的最终过滤器。央行投放的基础货币（M0）必须经过商业银行和债券市场的信用创造机制，转化为企业债、商业票据等形式，才能被实体企业吸收利用。</w:t>
      </w:r>
    </w:p>
    <w:p w14:paraId="0465F4B7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</w:rPr>
      </w:pPr>
    </w:p>
    <w:p w14:paraId="599171DC">
      <w:pPr>
        <w:bidi w:val="0"/>
        <w:spacing w:line="240" w:lineRule="auto"/>
        <w:rPr>
          <w:rFonts w:hint="default" w:eastAsia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=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&gt;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水质纯净度</w:t>
      </w:r>
    </w:p>
    <w:p w14:paraId="475BC566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</w:rPr>
      </w:pPr>
      <w:r>
        <w:rPr>
          <w:rFonts w:hint="eastAsia"/>
          <w:b w:val="0"/>
          <w:bCs w:val="0"/>
          <w:color w:val="auto"/>
          <w:sz w:val="21"/>
          <w:szCs w:val="21"/>
        </w:rPr>
        <w:t>当信用利差处于低位且稳定时，资金可以毫无阻碍地渗透到经济体（中小企业、高收益债发行人）中，滋养经济增长。</w:t>
      </w:r>
    </w:p>
    <w:p w14:paraId="4A2F363E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</w:rPr>
      </w:pPr>
      <w:r>
        <w:rPr>
          <w:rFonts w:hint="eastAsia"/>
          <w:b w:val="0"/>
          <w:bCs w:val="0"/>
          <w:color w:val="auto"/>
          <w:sz w:val="21"/>
          <w:szCs w:val="21"/>
        </w:rPr>
        <w:t>当信用利差大幅走阔，意味着水中充满了“有毒沉积物”（违约风险）和“泥沙”（流动性溢价）。此时，尽管上游水库（美联储）可能正在放水，但过滤网被泥沙堵死，或者下游用户因水质有毒而拒绝引用，导致“宽货币”无法转化为“宽信用”。</w:t>
      </w:r>
    </w:p>
    <w:p w14:paraId="102E6FC6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</w:rPr>
      </w:pPr>
    </w:p>
    <w:p w14:paraId="6965C1CD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</w:rPr>
      </w:pPr>
      <w:r>
        <w:rPr>
          <w:rFonts w:hint="eastAsia"/>
          <w:b w:val="0"/>
          <w:bCs w:val="0"/>
          <w:color w:val="auto"/>
          <w:sz w:val="21"/>
          <w:szCs w:val="21"/>
        </w:rPr>
        <w:t>传导机制失效（The Breakdown）： 在金融危机时期（如 2008 年或 2020 年 3 月），我们常看到 A 模块得分满分（央行疯狂扩表），但 F 模块得分归零（利差爆炸）。这种背离现象被称为推绳子效应——管道里充满了水，但因为水质太差，下游无人敢用，引擎依然熄火。因此，F 模块是判断 A 模块有效性的否决票。</w:t>
      </w:r>
    </w:p>
    <w:p w14:paraId="6CF25AB7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</w:p>
    <w:p w14:paraId="760C0A3A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</w:p>
    <w:p w14:paraId="36BA773F">
      <w:pPr>
        <w:bidi w:val="0"/>
        <w:spacing w:line="240" w:lineRule="auto"/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1"/>
          <w:szCs w:val="21"/>
          <w:lang w:val="en-US" w:eastAsia="zh-CN"/>
          <w14:textFill>
            <w14:solidFill>
              <w14:schemeClr w14:val="accent3"/>
            </w14:solidFill>
          </w14:textFill>
        </w:rPr>
        <w:t>天气：对市场环境是否有信心？（E模块：风险偏好）</w:t>
      </w:r>
    </w:p>
    <w:p w14:paraId="3B107E2C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金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融市场的物理规则受制于心理学规则。资金的流动速度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和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货币乘数并不完全取决于物理阻力（利率），很大程度上取决于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对市场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的信心。</w:t>
      </w:r>
    </w:p>
    <w:p w14:paraId="46F99CD5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A4CD23E">
      <w:pPr>
        <w:bidi w:val="0"/>
        <w:spacing w:line="240" w:lineRule="auto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1E09CA7A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=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&gt;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天气好坏决定风险偏好</w:t>
      </w:r>
    </w:p>
    <w:p w14:paraId="25BC3A9A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Risk-On：当 G 模块得分高时，市场参与者情绪乐观，愿意承担风险。此时，即使水流微弱，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市场也像是出太阳，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阳光也能促进水分蒸发和循环，资金周转率（Velocity）加快。投资者敢于驾驶小船（高风险资产）出海捕鱼。</w:t>
      </w:r>
    </w:p>
    <w:p w14:paraId="5F4B2235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Risk-Off：当 G 模块得分低时，市场被恐惧笼罩（VIX 飙升）。此时，即便水深流稳，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资金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也会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选择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避险。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市场参与者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会关闭所有不必要的阀门，导致流动性在瞬间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下降</w:t>
      </w: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35143BA0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768FEC8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E00C702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波动率的期限结构（The Storm Structure）： 真正的风暴不仅仅看风速（VIX 绝对值），还要看云层的结构（VIX Term Structure）。</w:t>
      </w:r>
    </w:p>
    <w:p w14:paraId="537C021E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顺流（Contango）：正常的阴天。长期不确定性高于短期，这是自然的物理法则。</w:t>
      </w:r>
    </w:p>
    <w:p w14:paraId="34213D9A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  <w:t>逆流（Backwardation/Inversion）：极其危险的超级风暴。短期恐慌指数高于长期，意味着“末日”就在眼前。此时大气压彻底混乱，模型（A-E）都将暂时失效，直到风暴过境。   </w:t>
      </w:r>
    </w:p>
    <w:p w14:paraId="29C89219">
      <w:pPr>
        <w:bidi w:val="0"/>
        <w:spacing w:line="240" w:lineRule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AE0898B">
      <w:pPr>
        <w:bidi w:val="0"/>
        <w:spacing w:line="240" w:lineRule="auto"/>
        <w:rPr>
          <w:rFonts w:hint="eastAsia"/>
          <w:b w:val="0"/>
          <w:bCs w:val="0"/>
          <w:color w:val="F2BA02" w:themeColor="accent3"/>
          <w:sz w:val="21"/>
          <w:szCs w:val="21"/>
          <w14:textFill>
            <w14:solidFill>
              <w14:schemeClr w14:val="accent3"/>
            </w14:solidFill>
          </w14:textFill>
        </w:rPr>
      </w:pPr>
    </w:p>
    <w:p w14:paraId="6D3899D5">
      <w:pPr>
        <w:bidi w:val="0"/>
        <w:spacing w:line="240" w:lineRule="auto"/>
        <w:rPr>
          <w:rFonts w:hint="eastAsia"/>
          <w:sz w:val="21"/>
          <w:szCs w:val="21"/>
        </w:rPr>
      </w:pPr>
    </w:p>
    <w:p w14:paraId="0A67CA6C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5F3D6">
      <w:pPr>
        <w:pStyle w:val="4"/>
        <w:bidi w:val="0"/>
        <w:outlineLvl w:val="0"/>
        <w:rPr>
          <w:rFonts w:hint="eastAsia"/>
          <w:color w:val="auto"/>
        </w:rPr>
      </w:pPr>
      <w:bookmarkStart w:id="5" w:name="_Toc1149399667"/>
      <w:bookmarkStart w:id="6" w:name="_3. 因子体系与量化逻辑"/>
      <w:r>
        <w:rPr>
          <w:rFonts w:hint="eastAsia"/>
          <w:color w:val="auto"/>
        </w:rPr>
        <w:fldChar w:fldCharType="begin"/>
      </w:r>
      <w:r>
        <w:rPr>
          <w:rFonts w:hint="eastAsia"/>
          <w:color w:val="auto"/>
        </w:rPr>
        <w:instrText xml:space="preserve"> HYPERLINK \l "_3. 因子体系与量化逻辑" </w:instrText>
      </w:r>
      <w:r>
        <w:rPr>
          <w:rFonts w:hint="eastAsia"/>
          <w:color w:val="auto"/>
        </w:rPr>
        <w:fldChar w:fldCharType="separate"/>
      </w:r>
      <w:r>
        <w:rPr>
          <w:rStyle w:val="15"/>
          <w:rFonts w:hint="eastAsia"/>
          <w:color w:val="auto"/>
        </w:rPr>
        <w:t>3. 因子体系与量化逻辑</w:t>
      </w:r>
      <w:r>
        <w:rPr>
          <w:rFonts w:hint="eastAsia"/>
          <w:color w:val="auto"/>
        </w:rPr>
        <w:fldChar w:fldCharType="end"/>
      </w:r>
      <w:bookmarkEnd w:id="5"/>
    </w:p>
    <w:bookmarkEnd w:id="6"/>
    <w:p w14:paraId="39FBE60C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模块风险判断+动态惩罚</w:t>
      </w:r>
    </w:p>
    <w:p w14:paraId="6F6329D5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7202EB35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本模型并非简单的加权平均，而是旨在模拟宏观环境的脆弱性。核心逻辑在于识别各个模块因子风险。宏观环境危机往往由单一因子做为导火索从而引发更大规模的危机。为了捕捉这种非线性风险，模型内置了动态调控惩罚机制。</w:t>
      </w:r>
    </w:p>
    <w:p w14:paraId="18FECB4C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00AAABEA">
      <w:pPr>
        <w:bidi w:val="0"/>
        <w:spacing w:line="240" w:lineRule="auto"/>
        <w:rPr>
          <w:rFonts w:hint="eastAsia"/>
          <w:sz w:val="21"/>
          <w:szCs w:val="21"/>
        </w:rPr>
      </w:pPr>
    </w:p>
    <w:p w14:paraId="104E728C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 xml:space="preserve">3.1 模块 A：系统流动性 (System Liquidity) </w:t>
      </w:r>
    </w:p>
    <w:p w14:paraId="2DBCF4A1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331E6535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本模块得分基于动量趋势 + 历史分位双重校验，满分 100 分（50分=中性）：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1. 数据清洗： 所有数据统一重采样为周频（Week-Ending Wednesday），剔除日间噪音。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2. 趋势因子： 采用 13周（即一个季度）的滚动变化量，捕捉中期流动性拐点。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3. 历史打分： 将当前趋势置于历史数据中进行百分位排名 (Percentile Rank)。例如得分 90 表示当前流动性环境优于历史上 90% 的时期。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4. 权重模型：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 Fed净流动性 ：50% - 核心权重，代表真实购买力。</w:t>
      </w:r>
    </w:p>
    <w:p w14:paraId="41C8D7D0">
      <w:pPr>
        <w:bidi w:val="0"/>
        <w:spacing w:line="240" w:lineRule="auto"/>
        <w:ind w:firstLine="210" w:firstLineChars="1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 TGA，RRP ：各 20% - 辅助权重，代表资金分流压力。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  银行准备金 ：10% - 基础权重，代表银行体系安全垫。</w:t>
      </w:r>
    </w:p>
    <w:p w14:paraId="107BF9B6">
      <w:pPr>
        <w:bidi w:val="0"/>
        <w:spacing w:line="240" w:lineRule="auto"/>
        <w:rPr>
          <w:rFonts w:hint="eastAsia"/>
          <w:sz w:val="21"/>
          <w:szCs w:val="21"/>
        </w:rPr>
      </w:pPr>
    </w:p>
    <w:p w14:paraId="586230AA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0AEA40CF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3A199711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 1：美联储净流动性 (Fed Net Liquidity) —— 权重 50%</w:t>
      </w:r>
    </w:p>
    <w:p w14:paraId="05A9470F">
      <w:pPr>
        <w:bidi w:val="0"/>
        <w:spacing w:line="240" w:lineRule="auto"/>
        <w:rPr>
          <w:rFonts w:hint="eastAsia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WALCL - WTREGEN - RRPONTSYD</w:t>
      </w:r>
    </w:p>
    <w:p w14:paraId="276AB4E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公式：Fed总资产 - TGA (财政部账户) - </w:t>
      </w:r>
      <w:r>
        <w:rPr>
          <w:rFonts w:hint="eastAsia"/>
          <w:sz w:val="21"/>
          <w:szCs w:val="21"/>
          <w:lang w:val="en-US" w:eastAsia="zh-CN"/>
        </w:rPr>
        <w:t xml:space="preserve">ON </w:t>
      </w:r>
      <w:r>
        <w:rPr>
          <w:rFonts w:hint="eastAsia"/>
          <w:sz w:val="21"/>
          <w:szCs w:val="21"/>
        </w:rPr>
        <w:t>RRP (逆回购)</w:t>
      </w:r>
    </w:p>
    <w:p w14:paraId="504B3D50">
      <w:pPr>
        <w:bidi w:val="0"/>
        <w:spacing w:line="240" w:lineRule="auto"/>
        <w:rPr>
          <w:rFonts w:hint="eastAsia"/>
          <w:sz w:val="21"/>
          <w:szCs w:val="21"/>
        </w:rPr>
      </w:pPr>
    </w:p>
    <w:p w14:paraId="4A397ED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量化逻辑：这是市场的“真实水位”。虽然联储总资产可能不变，但如果 TGA 或 RRP 激增（资金空转/被抽走），市场实际流动性会枯竭。模型捕捉该指标的 13周动量，正向趋势显著加分。</w:t>
      </w:r>
    </w:p>
    <w:p w14:paraId="0AEC1EB6">
      <w:pPr>
        <w:bidi w:val="0"/>
        <w:spacing w:line="240" w:lineRule="auto"/>
        <w:rPr>
          <w:rFonts w:hint="eastAsia"/>
          <w:sz w:val="21"/>
          <w:szCs w:val="21"/>
        </w:rPr>
      </w:pPr>
    </w:p>
    <w:p w14:paraId="43554BCA">
      <w:pPr>
        <w:bidi w:val="0"/>
        <w:spacing w:line="240" w:lineRule="auto"/>
        <w:rPr>
          <w:rFonts w:hint="eastAsia"/>
          <w:sz w:val="21"/>
          <w:szCs w:val="21"/>
        </w:rPr>
      </w:pPr>
    </w:p>
    <w:p w14:paraId="72BC52CD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 2：TGA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(Treasury General Account)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—— 权重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%</w:t>
      </w:r>
    </w:p>
    <w:p w14:paraId="233D5C27">
      <w:pPr>
        <w:bidi w:val="0"/>
        <w:spacing w:line="240" w:lineRule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WTREGEN</w:t>
      </w:r>
    </w:p>
    <w:p w14:paraId="19E0BB6D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美国财政部在美联储的存款账户（政府的钱包）</w:t>
      </w:r>
    </w:p>
    <w:p w14:paraId="2F839384">
      <w:pPr>
        <w:bidi w:val="0"/>
        <w:spacing w:line="240" w:lineRule="auto"/>
        <w:rPr>
          <w:rFonts w:hint="eastAsia"/>
          <w:sz w:val="21"/>
          <w:szCs w:val="21"/>
        </w:rPr>
      </w:pPr>
    </w:p>
    <w:p w14:paraId="2CB0E5F4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量化逻辑：监测资金的“分流效应”。当 TGA &gt; 8000亿美元时，视为财政部过度抽水，触发低分惩罚。</w:t>
      </w:r>
    </w:p>
    <w:p w14:paraId="13421BC4">
      <w:pPr>
        <w:bidi w:val="0"/>
        <w:spacing w:line="240" w:lineRule="auto"/>
        <w:rPr>
          <w:rFonts w:hint="eastAsia"/>
          <w:sz w:val="21"/>
          <w:szCs w:val="21"/>
        </w:rPr>
      </w:pPr>
    </w:p>
    <w:p w14:paraId="0E6C7DB7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 3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ON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RRP 结构压力 —— 权重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0%</w:t>
      </w:r>
    </w:p>
    <w:p w14:paraId="508232E4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RRPONTSYD</w:t>
      </w:r>
    </w:p>
    <w:p w14:paraId="018BDE3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隔夜逆回购协议，即货币市场基金等机构把多余的现金借给美联储，换取利息。</w:t>
      </w:r>
    </w:p>
    <w:p w14:paraId="56452D3E">
      <w:pPr>
        <w:bidi w:val="0"/>
        <w:spacing w:line="240" w:lineRule="auto"/>
        <w:rPr>
          <w:rFonts w:hint="eastAsia"/>
          <w:sz w:val="21"/>
          <w:szCs w:val="21"/>
        </w:rPr>
      </w:pPr>
    </w:p>
    <w:p w14:paraId="4906975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量化逻辑：当</w:t>
      </w:r>
      <w:r>
        <w:rPr>
          <w:rFonts w:hint="eastAsia"/>
          <w:sz w:val="21"/>
          <w:szCs w:val="21"/>
          <w:lang w:val="en-US" w:eastAsia="zh-CN"/>
        </w:rPr>
        <w:t>ON</w:t>
      </w:r>
      <w:r>
        <w:rPr>
          <w:rFonts w:hint="eastAsia"/>
          <w:sz w:val="21"/>
          <w:szCs w:val="21"/>
        </w:rPr>
        <w:t xml:space="preserve"> RRP 异常升高，代表资金宁愿在联储账上空转也不进入市场，视为风险厌恶信号。</w:t>
      </w:r>
    </w:p>
    <w:p w14:paraId="779DC651">
      <w:pPr>
        <w:bidi w:val="0"/>
        <w:spacing w:line="240" w:lineRule="auto"/>
        <w:rPr>
          <w:rFonts w:hint="eastAsia"/>
          <w:sz w:val="21"/>
          <w:szCs w:val="21"/>
        </w:rPr>
      </w:pPr>
    </w:p>
    <w:p w14:paraId="697D41C2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因子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：银行准备金 (Reserves)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—— 权重 10%</w:t>
      </w:r>
    </w:p>
    <w:p w14:paraId="3CC6261B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WRESBAL</w:t>
      </w:r>
    </w:p>
    <w:p w14:paraId="140ECDB8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商业银行存放在美联储的现金储备。</w:t>
      </w:r>
    </w:p>
    <w:p w14:paraId="2857BED3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268DA773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量化逻辑：银行体系的安全垫。用于平滑短期波动，权重较低但作为底线风控指标。</w:t>
      </w:r>
    </w:p>
    <w:p w14:paraId="07C492C3">
      <w:pPr>
        <w:bidi w:val="0"/>
        <w:spacing w:line="240" w:lineRule="auto"/>
        <w:rPr>
          <w:rFonts w:hint="eastAsia"/>
          <w:sz w:val="21"/>
          <w:szCs w:val="21"/>
        </w:rPr>
      </w:pPr>
    </w:p>
    <w:p w14:paraId="38684E0B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因子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Fed 总资产 (Fed Total Assets)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——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仅展示不计权</w:t>
      </w:r>
    </w:p>
    <w:p w14:paraId="0F6B35E1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WALCL</w:t>
      </w:r>
    </w:p>
    <w:p w14:paraId="1AB8D59F">
      <w:pPr>
        <w:bidi w:val="0"/>
        <w:spacing w:line="240" w:lineRule="auto"/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auto"/>
          <w:sz w:val="21"/>
          <w:szCs w:val="21"/>
          <w:lang w:val="en-US" w:eastAsia="zh-CN"/>
        </w:rPr>
        <w:t>美联储资产负债表的总规模</w:t>
      </w:r>
      <w:r>
        <w:rPr>
          <w:rFonts w:hint="eastAsia"/>
          <w:color w:val="auto"/>
          <w:sz w:val="21"/>
          <w:szCs w:val="21"/>
          <w:lang w:val="en-US" w:eastAsia="zh-CN"/>
        </w:rPr>
        <w:t>。</w:t>
      </w:r>
      <w:r>
        <w:rPr>
          <w:rFonts w:hint="default"/>
          <w:color w:val="auto"/>
          <w:sz w:val="21"/>
          <w:szCs w:val="21"/>
          <w:lang w:val="en-US" w:eastAsia="zh-CN"/>
        </w:rPr>
        <w:t>代表了央行资产负债表的扩张(QE)与收缩(QT)周期。它是大周期的水位，但短期对市场的影响常被 TGA/RRP 对冲。</w:t>
      </w:r>
    </w:p>
    <w:p w14:paraId="7E1EE903">
      <w:pPr>
        <w:bidi w:val="0"/>
        <w:spacing w:line="240" w:lineRule="auto"/>
        <w:rPr>
          <w:rFonts w:hint="eastAsia"/>
          <w:sz w:val="21"/>
          <w:szCs w:val="21"/>
        </w:rPr>
      </w:pPr>
    </w:p>
    <w:p w14:paraId="2786D900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 xml:space="preserve">3.2 模块 B：资金价格与摩擦 </w:t>
      </w:r>
    </w:p>
    <w:p w14:paraId="477DA498">
      <w:pPr>
        <w:bidi w:val="0"/>
        <w:spacing w:line="240" w:lineRule="auto"/>
        <w:rPr>
          <w:rFonts w:hint="eastAsia"/>
          <w:sz w:val="21"/>
          <w:szCs w:val="21"/>
        </w:rPr>
      </w:pPr>
    </w:p>
    <w:p w14:paraId="5ADF5548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本模块得分旨在量化资金成本与传导顺畅度，采用两层加权模型：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总分 = 政策制度得分 (40%) + 摩擦压力得分 (60%)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1. 政策制度 (Policy Regime)：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 结合利率绝对水平（低利率加分）与 13周变化趋势（降息趋势加分）。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2. 摩擦压力 (Market Friction)：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   基准偏离度：计算 三组走廊摩擦相对其 </w:t>
      </w:r>
      <w:r>
        <w:rPr>
          <w:rFonts w:hint="default"/>
          <w:sz w:val="21"/>
          <w:szCs w:val="21"/>
          <w:lang w:val="en-US" w:eastAsia="zh-CN"/>
        </w:rPr>
        <w:t>60</w:t>
      </w:r>
      <w:r>
        <w:rPr>
          <w:rFonts w:hint="eastAsia"/>
          <w:sz w:val="21"/>
          <w:szCs w:val="21"/>
          <w:lang w:val="en-US" w:eastAsia="zh-CN"/>
        </w:rPr>
        <w:t>天移动中枢的偏离程度。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非对称惩罚：仅当 SOFR 突破天花板 (IORB) 时给予重罚，正常波动不扣分。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动态权重 ：一旦监测到 SRF 用量激增，模型自动进入“非正常模式”，将 SRF 在摩擦压力权重从 0% 提至 60%，迅速拉低总分以发出警报。</w:t>
      </w:r>
    </w:p>
    <w:p w14:paraId="7CF2EAE8">
      <w:pPr>
        <w:bidi w:val="0"/>
        <w:spacing w:line="240" w:lineRule="auto"/>
        <w:rPr>
          <w:rFonts w:hint="eastAsia"/>
          <w:sz w:val="21"/>
          <w:szCs w:val="21"/>
        </w:rPr>
      </w:pPr>
    </w:p>
    <w:p w14:paraId="38C137AD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政策与市场基准利率 —— 权重 </w:t>
      </w:r>
      <w:r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>40%</w:t>
      </w:r>
    </w:p>
    <w:p w14:paraId="20A4F53C">
      <w:pPr>
        <w:bidi w:val="0"/>
        <w:spacing w:line="240" w:lineRule="auto"/>
        <w:rPr>
          <w:rFonts w:hint="eastAsia"/>
          <w:sz w:val="21"/>
          <w:szCs w:val="21"/>
        </w:rPr>
      </w:pPr>
    </w:p>
    <w:p w14:paraId="25EA9754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1</w:t>
      </w:r>
      <w:r>
        <w:rPr>
          <w:rFonts w:hint="eastAsia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EFFR (联邦基金利率) - 政策锚</w:t>
      </w:r>
    </w:p>
    <w:p w14:paraId="69772F56">
      <w:pPr>
        <w:bidi w:val="0"/>
        <w:spacing w:line="240" w:lineRule="auto"/>
        <w:rPr>
          <w:rFonts w:hint="defaul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DFF</w:t>
      </w:r>
    </w:p>
    <w:p w14:paraId="478D6E5C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定义：无抵押隔夜资金价格。</w:t>
      </w:r>
    </w:p>
    <w:p w14:paraId="2D673B2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量化逻辑：作为美联储政策的“靶心”，代表无风险基准融资成本。模型监测其 13周趋势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</w:rPr>
        <w:t>下降 = 宽松周期 (加分)；上升 = 紧缩周期 (扣分)。</w:t>
      </w:r>
    </w:p>
    <w:p w14:paraId="2A3358AA">
      <w:pPr>
        <w:bidi w:val="0"/>
        <w:spacing w:line="240" w:lineRule="auto"/>
        <w:rPr>
          <w:rFonts w:hint="eastAsia"/>
          <w:sz w:val="21"/>
          <w:szCs w:val="21"/>
        </w:rPr>
      </w:pPr>
    </w:p>
    <w:p w14:paraId="5F3DB47C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2</w:t>
      </w:r>
      <w:r>
        <w:rPr>
          <w:rFonts w:hint="eastAsia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SOFR (担保隔夜融资利率) - 市场锚</w:t>
      </w:r>
    </w:p>
    <w:p w14:paraId="30D62FE2">
      <w:pPr>
        <w:bidi w:val="0"/>
        <w:spacing w:line="240" w:lineRule="auto"/>
        <w:rPr>
          <w:rFonts w:hint="defaul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SOFR</w:t>
      </w:r>
    </w:p>
    <w:p w14:paraId="1A97237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定义：有抵押隔夜回购资金价格。</w:t>
      </w:r>
    </w:p>
    <w:p w14:paraId="12B20847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量化逻辑：回购市场的核心定价基准，反映用国债做抵押借钱的真实成本。趋势下行视为利好。</w:t>
      </w:r>
    </w:p>
    <w:p w14:paraId="71A320E8">
      <w:pPr>
        <w:bidi w:val="0"/>
        <w:spacing w:line="240" w:lineRule="auto"/>
        <w:rPr>
          <w:rFonts w:hint="eastAsia"/>
          <w:sz w:val="21"/>
          <w:szCs w:val="21"/>
        </w:rPr>
      </w:pPr>
    </w:p>
    <w:p w14:paraId="267F31CD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3</w:t>
      </w:r>
      <w:r>
        <w:rPr>
          <w:rFonts w:hint="eastAsia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TGCR (第三方一般担保回购利率) - 抵押品锚</w:t>
      </w:r>
    </w:p>
    <w:p w14:paraId="39A85BE1">
      <w:pPr>
        <w:bidi w:val="0"/>
        <w:spacing w:line="240" w:lineRule="auto"/>
        <w:rPr>
          <w:rFonts w:hint="defaul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TGCRRATE</w:t>
      </w:r>
    </w:p>
    <w:p w14:paraId="3135699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定义：三方回购一般抵押品利率。</w:t>
      </w:r>
    </w:p>
    <w:p w14:paraId="59053179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量化逻辑：代表市场中最标准、最优质抵押品的融资成本。</w:t>
      </w:r>
    </w:p>
    <w:p w14:paraId="6307F770">
      <w:pPr>
        <w:bidi w:val="0"/>
        <w:spacing w:line="240" w:lineRule="auto"/>
        <w:rPr>
          <w:rFonts w:hint="eastAsia"/>
          <w:sz w:val="21"/>
          <w:szCs w:val="21"/>
        </w:rPr>
      </w:pPr>
    </w:p>
    <w:p w14:paraId="21356D5F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4</w:t>
      </w:r>
      <w:r>
        <w:rPr>
          <w:rFonts w:hint="eastAsia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IORB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 (准备金利息率)</w:t>
      </w:r>
    </w:p>
    <w:p w14:paraId="1E849DD3">
      <w:pPr>
        <w:bidi w:val="0"/>
        <w:spacing w:line="240" w:lineRule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IORB</w:t>
      </w:r>
    </w:p>
    <w:p w14:paraId="0FA97F39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定义：政策天花板。银行存钱给联储的无风险收益。</w:t>
      </w:r>
    </w:p>
    <w:p w14:paraId="45F0369E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银行把钱存在美联储能拿到的无风险利息。理论上，银行不应以低于此利率把钱借给别人。</w:t>
      </w:r>
    </w:p>
    <w:p w14:paraId="663CFD09">
      <w:pPr>
        <w:bidi w:val="0"/>
        <w:spacing w:line="240" w:lineRule="auto"/>
        <w:rPr>
          <w:rFonts w:hint="eastAsia"/>
          <w:sz w:val="21"/>
          <w:szCs w:val="21"/>
        </w:rPr>
      </w:pPr>
    </w:p>
    <w:p w14:paraId="35A7F08C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因子5</w:t>
      </w:r>
      <w:r>
        <w:rPr>
          <w:rFonts w:hint="eastAsia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RRP Award Rate (逆回购利率)</w:t>
      </w:r>
    </w:p>
    <w:p w14:paraId="01E516A0">
      <w:pPr>
        <w:bidi w:val="0"/>
        <w:spacing w:line="240" w:lineRule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RRPONTSYAWARD</w:t>
      </w:r>
    </w:p>
    <w:p w14:paraId="0E8F7AA3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定义：</w:t>
      </w:r>
      <w:r>
        <w:rPr>
          <w:rFonts w:hint="eastAsia"/>
          <w:sz w:val="21"/>
          <w:szCs w:val="21"/>
        </w:rPr>
        <w:t>政策地板。机构借钱给联储的下限收益。</w:t>
      </w:r>
    </w:p>
    <w:p w14:paraId="3C84472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机构把钱借给美联储能拿到的利息。这是市场利率的下限。</w:t>
      </w:r>
    </w:p>
    <w:p w14:paraId="0B21BA02">
      <w:pPr>
        <w:bidi w:val="0"/>
        <w:spacing w:line="240" w:lineRule="auto"/>
        <w:rPr>
          <w:rFonts w:hint="eastAsia"/>
          <w:sz w:val="21"/>
          <w:szCs w:val="21"/>
        </w:rPr>
      </w:pPr>
    </w:p>
    <w:p w14:paraId="65208082">
      <w:pPr>
        <w:bidi w:val="0"/>
        <w:spacing w:line="240" w:lineRule="auto"/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走廊摩擦与压力监测—— 权重 </w:t>
      </w:r>
      <w:r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>60%</w:t>
      </w:r>
    </w:p>
    <w:p w14:paraId="4DF87E27">
      <w:pPr>
        <w:bidi w:val="0"/>
        <w:spacing w:line="240" w:lineRule="auto"/>
        <w:rPr>
          <w:rFonts w:hint="eastAsia"/>
          <w:sz w:val="21"/>
          <w:szCs w:val="21"/>
        </w:rPr>
      </w:pPr>
    </w:p>
    <w:p w14:paraId="202748E9">
      <w:pPr>
        <w:bidi w:val="0"/>
        <w:spacing w:line="240" w:lineRule="auto"/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因子6: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穿顶监测：SOFR - IORB</w:t>
      </w:r>
      <w:r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 xml:space="preserve"> (F1)</w:t>
      </w:r>
    </w:p>
    <w:p w14:paraId="1A98526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公式：SOFR - IORB</w:t>
      </w:r>
    </w:p>
    <w:p w14:paraId="1A09934F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量化逻辑：监测流动性枯竭。</w:t>
      </w:r>
    </w:p>
    <w:p w14:paraId="0C188A37">
      <w:pPr>
        <w:bidi w:val="0"/>
        <w:spacing w:line="240" w:lineRule="auto"/>
        <w:rPr>
          <w:rFonts w:hint="eastAsia"/>
          <w:sz w:val="21"/>
          <w:szCs w:val="21"/>
        </w:rPr>
      </w:pPr>
    </w:p>
    <w:p w14:paraId="745EBDCA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正常态 (负值)：SOFR 在 IORB 之下，资金充裕。</w:t>
      </w:r>
    </w:p>
    <w:p w14:paraId="7EF4ACAA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异常态 (正值)：一旦 SOFR 冲破 IORB，说明市场资金极度饥渴（比央行给的利息还贵）。模型对此触发非线性惩罚，差值越大，扣分越重。</w:t>
      </w:r>
    </w:p>
    <w:p w14:paraId="36C7836C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2EBAE281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因子7: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离地监测：SOFR - RRP</w:t>
      </w:r>
      <w:r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>(F2)</w:t>
      </w:r>
    </w:p>
    <w:p w14:paraId="60AC43B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公式：SOFR - RRP Award Rate</w:t>
      </w:r>
    </w:p>
    <w:p w14:paraId="387DA5A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量化逻辑：监测资金是否**“脱离地板”**。</w:t>
      </w:r>
    </w:p>
    <w:p w14:paraId="07C2FA79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贴地 (低偏离)：资金充裕，大量停留在 RRP 地板上。</w:t>
      </w:r>
    </w:p>
    <w:p w14:paraId="461E9C0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离地 (高偏离)：资金开始变得稀缺，利率中枢上移，视为边际收紧信号。</w:t>
      </w:r>
    </w:p>
    <w:p w14:paraId="388B9034">
      <w:pPr>
        <w:bidi w:val="0"/>
        <w:spacing w:line="240" w:lineRule="auto"/>
        <w:rPr>
          <w:rFonts w:hint="eastAsia"/>
          <w:sz w:val="21"/>
          <w:szCs w:val="21"/>
        </w:rPr>
      </w:pPr>
    </w:p>
    <w:p w14:paraId="11CDCA49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因子8: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传导摩擦：TGCR - SOFR</w:t>
      </w:r>
      <w:r>
        <w:rPr>
          <w:rFonts w:hint="default"/>
          <w:color w:val="4874CB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>(F3)</w:t>
      </w:r>
    </w:p>
    <w:p w14:paraId="31A0983D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公式：TGCR - SOFR</w:t>
      </w:r>
    </w:p>
    <w:p w14:paraId="42CBC83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量化逻辑：监测回购市场内部的血管堵塞。反映不同抵押品或不同交易对手之间的分层程度。偏离度越接近 0，说明传导越顺畅（利好）。</w:t>
      </w:r>
    </w:p>
    <w:p w14:paraId="53FE4502">
      <w:pPr>
        <w:bidi w:val="0"/>
        <w:spacing w:line="240" w:lineRule="auto"/>
        <w:rPr>
          <w:rFonts w:hint="eastAsia"/>
          <w:sz w:val="21"/>
          <w:szCs w:val="21"/>
        </w:rPr>
      </w:pPr>
    </w:p>
    <w:p w14:paraId="0ADEE9D8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 3：危机熔断机制 ——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动态惩罚</w:t>
      </w:r>
    </w:p>
    <w:p w14:paraId="3FB8523E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SRF</w:t>
      </w:r>
    </w:p>
    <w:p w14:paraId="3FDA261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定义：SRF (Standing Repo Facility) 是银行向美联储申请紧急贷款的金额（央行的急救室）。</w:t>
      </w:r>
    </w:p>
    <w:p w14:paraId="2F3AD665">
      <w:pPr>
        <w:bidi w:val="0"/>
        <w:spacing w:line="240" w:lineRule="auto"/>
        <w:rPr>
          <w:rFonts w:hint="eastAsia"/>
          <w:sz w:val="21"/>
          <w:szCs w:val="21"/>
        </w:rPr>
      </w:pPr>
    </w:p>
    <w:p w14:paraId="4105D32E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量化逻辑：这是本模型的非线性</w:t>
      </w:r>
      <w:r>
        <w:rPr>
          <w:rFonts w:hint="eastAsia"/>
          <w:sz w:val="21"/>
          <w:szCs w:val="21"/>
          <w:lang w:val="en-US" w:eastAsia="zh-CN"/>
        </w:rPr>
        <w:t>因子</w:t>
      </w:r>
      <w:r>
        <w:rPr>
          <w:rFonts w:hint="eastAsia"/>
          <w:sz w:val="21"/>
          <w:szCs w:val="21"/>
        </w:rPr>
        <w:t>，正常时期不计权，一旦触发则主导评分。</w:t>
      </w:r>
    </w:p>
    <w:p w14:paraId="790F2F47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阶段 I：正常 (0 - 100亿美元)：</w:t>
      </w:r>
    </w:p>
    <w:p w14:paraId="0D2AE713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🟢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信号：资金充裕，系统无压力。策略：中性/按常规模型交易。</w:t>
      </w:r>
    </w:p>
    <w:p w14:paraId="3387512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阶段 II：压力酝酿 (100 - 500亿美元)：</w:t>
      </w:r>
    </w:p>
    <w:p w14:paraId="38022CCA">
      <w:pPr>
        <w:bidi w:val="0"/>
        <w:spacing w:line="240" w:lineRule="auto"/>
        <w:ind w:firstLine="210" w:firstLineChars="1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信号：银行体系开始出现裂缝，流动性紧张。策略：防御配置，开始配置黄金。</w:t>
      </w:r>
    </w:p>
    <w:p w14:paraId="306B629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阶段 III：财政部失能 (&gt; 500亿美元)：</w:t>
      </w:r>
    </w:p>
    <w:p w14:paraId="33CB4214">
      <w:pPr>
        <w:bidi w:val="0"/>
        <w:spacing w:line="240" w:lineRule="auto"/>
        <w:ind w:firstLine="210" w:firstLineChars="1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信号：流动性危机确认，但这也意味着大放水救助即将到来。策略：Risk On (反转做多)，博弈央行干预。</w:t>
      </w:r>
    </w:p>
    <w:p w14:paraId="7E6E1BBF">
      <w:pPr>
        <w:bidi w:val="0"/>
        <w:spacing w:line="240" w:lineRule="auto"/>
        <w:rPr>
          <w:rFonts w:hint="eastAsia"/>
          <w:sz w:val="21"/>
          <w:szCs w:val="21"/>
        </w:rPr>
      </w:pPr>
    </w:p>
    <w:p w14:paraId="4991D2B9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3.3 模块 C：国债期限结构</w:t>
      </w:r>
    </w:p>
    <w:p w14:paraId="2C0A369F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</w:p>
    <w:p w14:paraId="29E60E19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本模块关注资金的时间价值与经济预期。算法包含三种逻辑：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1. 绝对水平 (Level)： 采用 Percentile Rank。名义利率越高，融资成本越贵，得分越低。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2. 曲线形态 (Slope) - MID_BEST靶心偏差模型： 曲线并非越陡越好。</w:t>
      </w:r>
    </w:p>
    <w:p w14:paraId="7E594C74">
      <w:pPr>
        <w:bidi w:val="0"/>
        <w:spacing w:line="24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靶心 (Target = 0.5)：最理想的利差是 +50bps。此时偏差为 0，得满分 100。视为最健康的“复苏/温和增长”形态</w:t>
      </w:r>
    </w:p>
    <w:p w14:paraId="22C9FEE0">
      <w:pPr>
        <w:bidi w:val="0"/>
        <w:spacing w:line="24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容忍度 (Tolerance = 1.5)：允许偏离的范围+-150bps。</w:t>
      </w:r>
    </w:p>
    <w:p w14:paraId="116BA1CC">
      <w:pPr>
        <w:bidi w:val="0"/>
        <w:spacing w:line="24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惩罚系数 ( 80)：线性衰减。 每偏离靶心 150bps，分数就扣掉 80 分（剩 20 分）。参数：10Y-2Y  target=0.5, tolerance=1.5</w:t>
      </w:r>
    </w:p>
    <w:p w14:paraId="5DBD79A3">
      <w:pPr>
        <w:bidi w:val="0"/>
        <w:spacing w:line="240" w:lineRule="auto"/>
        <w:ind w:firstLine="630" w:firstLineChars="3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10Y-3M  target=0.75, tolerance=2.0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3. 动态惩罚 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逻辑：利率的变化速度往往比绝对位置更致命。若长端利率在短期（60天）内暴涨，即便绝对水平尚可，也会引发资产定价的“休克”（杀估值）。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机制：监测 10Y/30Y 的 60天动量。</w:t>
      </w:r>
    </w:p>
    <w:p w14:paraId="39044816">
      <w:pPr>
        <w:bidi w:val="0"/>
        <w:spacing w:line="240" w:lineRule="auto"/>
        <w:ind w:left="420" w:leftChars="0"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若快速上行15-30b</w:t>
      </w:r>
      <w:r>
        <w:rPr>
          <w:rFonts w:hint="default"/>
          <w:sz w:val="21"/>
          <w:szCs w:val="21"/>
          <w:lang w:val="en-US" w:eastAsia="zh-CN"/>
        </w:rPr>
        <w:t>ps</w:t>
      </w:r>
      <w:r>
        <w:rPr>
          <w:rFonts w:hint="eastAsia"/>
          <w:sz w:val="21"/>
          <w:szCs w:val="21"/>
          <w:lang w:val="en-US" w:eastAsia="zh-CN"/>
        </w:rPr>
        <w:t>， 模型会自动触发 0.8x 的折扣惩罚，并显示</w:t>
      </w:r>
      <w:r>
        <w:rPr>
          <w:rFonts w:hint="eastAsia"/>
          <w:color w:val="FED961" w:themeColor="accent3" w:themeTint="99"/>
          <w:sz w:val="21"/>
          <w:szCs w:val="21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🟡🟡</w:t>
      </w:r>
      <w:r>
        <w:rPr>
          <w:rFonts w:hint="eastAsia"/>
          <w:color w:val="FED961" w:themeColor="accent3" w:themeTint="99"/>
          <w:sz w:val="21"/>
          <w:szCs w:val="21"/>
          <w:highlight w:val="none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黄色提示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4BEF510F">
      <w:pPr>
        <w:bidi w:val="0"/>
        <w:spacing w:line="240" w:lineRule="auto"/>
        <w:ind w:left="420" w:leftChars="0"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若快速上行30-50b</w:t>
      </w:r>
      <w:r>
        <w:rPr>
          <w:rFonts w:hint="default"/>
          <w:sz w:val="21"/>
          <w:szCs w:val="21"/>
          <w:lang w:val="en-US" w:eastAsia="zh-CN"/>
        </w:rPr>
        <w:t>ps</w:t>
      </w:r>
      <w:r>
        <w:rPr>
          <w:rFonts w:hint="eastAsia"/>
          <w:sz w:val="21"/>
          <w:szCs w:val="21"/>
          <w:lang w:val="en-US" w:eastAsia="zh-CN"/>
        </w:rPr>
        <w:t>， 模型会自动触发 0.6x 的折扣惩罚，并显示🟡🟡</w:t>
      </w:r>
      <w:r>
        <w:rPr>
          <w:rFonts w:hint="eastAsia"/>
          <w:color w:val="EE822F" w:themeColor="accent2"/>
          <w:sz w:val="21"/>
          <w:szCs w:val="21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橙色警戒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5B4F0FFD">
      <w:pPr>
        <w:bidi w:val="0"/>
        <w:spacing w:line="240" w:lineRule="auto"/>
        <w:ind w:left="420" w:leftChars="0"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若快速上行60+b</w:t>
      </w:r>
      <w:r>
        <w:rPr>
          <w:rFonts w:hint="default"/>
          <w:sz w:val="21"/>
          <w:szCs w:val="21"/>
          <w:lang w:val="en-US" w:eastAsia="zh-CN"/>
        </w:rPr>
        <w:t>ps</w:t>
      </w:r>
      <w:r>
        <w:rPr>
          <w:rFonts w:hint="eastAsia"/>
          <w:sz w:val="21"/>
          <w:szCs w:val="21"/>
          <w:lang w:val="en-US" w:eastAsia="zh-CN"/>
        </w:rPr>
        <w:t>， 模型会自动触发 0.2x 的折扣惩罚，并显示🟡🟡</w:t>
      </w: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红色</w:t>
      </w:r>
      <w:r>
        <w:rPr>
          <w:rFonts w:hint="eastAsia"/>
          <w:color w:val="E54C5E" w:themeColor="accent6"/>
          <w:sz w:val="21"/>
          <w:szCs w:val="21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极危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1663832D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若快速上行小于15b</w:t>
      </w:r>
      <w:r>
        <w:rPr>
          <w:rFonts w:hint="default"/>
          <w:sz w:val="21"/>
          <w:szCs w:val="21"/>
          <w:lang w:val="en-US" w:eastAsia="zh-CN"/>
        </w:rPr>
        <w:t>ps</w:t>
      </w:r>
      <w:r>
        <w:rPr>
          <w:rFonts w:hint="eastAsia"/>
          <w:sz w:val="21"/>
          <w:szCs w:val="21"/>
          <w:lang w:val="en-US" w:eastAsia="zh-CN"/>
        </w:rPr>
        <w:t>， 模型会正常运行，并显示</w:t>
      </w:r>
      <w:r>
        <w:rPr>
          <w:rFonts w:hint="eastAsia"/>
          <w:color w:val="FED961" w:themeColor="accent3" w:themeTint="99"/>
          <w:sz w:val="21"/>
          <w:szCs w:val="21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🟡🟡</w:t>
      </w:r>
      <w:r>
        <w:rPr>
          <w:rFonts w:hint="eastAsia"/>
          <w:color w:val="75BD42" w:themeColor="accent4"/>
          <w:sz w:val="21"/>
          <w:szCs w:val="21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动量监测正常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79167A00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08EE3021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：10Y-2Y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利差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 - 权重 30%</w:t>
      </w:r>
    </w:p>
    <w:p w14:paraId="1A47A6F1">
      <w:pPr>
        <w:bidi w:val="0"/>
        <w:spacing w:line="240" w:lineRule="auto"/>
        <w:rPr>
          <w:rFonts w:hint="eastAsia" w:eastAsiaTheme="min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T10Y2Y</w:t>
      </w:r>
    </w:p>
    <w:p w14:paraId="5AF0E593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全球第一的衰退预警指标。它反映了短端政策利率与长端增长预期的博弈。</w:t>
      </w:r>
    </w:p>
    <w:p w14:paraId="36D18F1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量化逻辑：放弃线性的“越大越好”，采用 区间映射算法：</w:t>
      </w:r>
    </w:p>
    <w:p w14:paraId="0295EB1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倒挂区间 (&lt; 0bps)：衰退确信信号，得分 &lt; 30（极差）。</w:t>
      </w:r>
    </w:p>
    <w:p w14:paraId="6AAD08EC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目标区间 (+50bps 左右)：温和复苏，得分 &gt; 80（最优）。</w:t>
      </w:r>
    </w:p>
    <w:p w14:paraId="60E462DF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过陡区间 (&gt; 150bps)：通胀失控或期限溢价过高，得分回落至 50-60（中性偏空）。</w:t>
      </w:r>
    </w:p>
    <w:p w14:paraId="7B8B2A63">
      <w:pPr>
        <w:bidi w:val="0"/>
        <w:spacing w:line="240" w:lineRule="auto"/>
        <w:rPr>
          <w:rFonts w:hint="eastAsia"/>
          <w:sz w:val="21"/>
          <w:szCs w:val="21"/>
        </w:rPr>
      </w:pPr>
    </w:p>
    <w:p w14:paraId="3DE186E0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因子2: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10Y-3M 利差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 - 权重 30%</w:t>
      </w:r>
    </w:p>
    <w:p w14:paraId="27D4C5B8">
      <w:pPr>
        <w:bidi w:val="0"/>
        <w:spacing w:line="240" w:lineRule="auto"/>
        <w:rPr>
          <w:rFonts w:hint="eastAsia" w:eastAsiaTheme="min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T10Y3M</w:t>
      </w:r>
    </w:p>
    <w:p w14:paraId="1356C83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相比10Y-2Y，美联储更看重这个指标。它直接对比了“当下现金成本”与“长期投资回报”。如果3个月利息比10年还高，银行放贷动力枯竭，信贷周期终结。</w:t>
      </w:r>
    </w:p>
    <w:p w14:paraId="6A0FA0D8">
      <w:pPr>
        <w:bidi w:val="0"/>
        <w:spacing w:line="240" w:lineRule="auto"/>
        <w:rPr>
          <w:rFonts w:hint="eastAsia"/>
          <w:sz w:val="21"/>
          <w:szCs w:val="21"/>
        </w:rPr>
      </w:pPr>
    </w:p>
    <w:p w14:paraId="0A27ED8B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量化逻辑：放弃线性的“越大越好”，采用 区间映射算法：</w:t>
      </w:r>
    </w:p>
    <w:p w14:paraId="327482B4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倒挂区间 (&lt; </w:t>
      </w:r>
      <w:r>
        <w:rPr>
          <w:rFonts w:hint="eastAsia"/>
          <w:sz w:val="21"/>
          <w:szCs w:val="21"/>
          <w:lang w:val="en-US" w:eastAsia="zh-CN"/>
        </w:rPr>
        <w:t>-100</w:t>
      </w:r>
      <w:r>
        <w:rPr>
          <w:rFonts w:hint="eastAsia"/>
          <w:sz w:val="21"/>
          <w:szCs w:val="21"/>
        </w:rPr>
        <w:t xml:space="preserve">bps)：衰退确信信号，得分 &lt; </w:t>
      </w:r>
      <w:r>
        <w:rPr>
          <w:rFonts w:hint="eastAsia"/>
          <w:sz w:val="21"/>
          <w:szCs w:val="21"/>
          <w:lang w:val="en-US" w:eastAsia="zh-CN"/>
        </w:rPr>
        <w:t>30（极差）</w:t>
      </w:r>
      <w:r>
        <w:rPr>
          <w:rFonts w:hint="eastAsia"/>
          <w:sz w:val="21"/>
          <w:szCs w:val="21"/>
        </w:rPr>
        <w:t>。</w:t>
      </w:r>
    </w:p>
    <w:p w14:paraId="789B0A3F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目标区间 (+</w:t>
      </w:r>
      <w:r>
        <w:rPr>
          <w:rFonts w:hint="eastAsia"/>
          <w:sz w:val="21"/>
          <w:szCs w:val="21"/>
          <w:lang w:val="en-US" w:eastAsia="zh-CN"/>
        </w:rPr>
        <w:t>75</w:t>
      </w:r>
      <w:r>
        <w:rPr>
          <w:rFonts w:hint="eastAsia"/>
          <w:sz w:val="21"/>
          <w:szCs w:val="21"/>
        </w:rPr>
        <w:t>bps 左右)：温和复苏，得分 &gt; 80（最优）。</w:t>
      </w:r>
    </w:p>
    <w:p w14:paraId="2E6629ED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过陡区间 (&gt; </w:t>
      </w:r>
      <w:r>
        <w:rPr>
          <w:rFonts w:hint="eastAsia"/>
          <w:sz w:val="21"/>
          <w:szCs w:val="21"/>
          <w:lang w:val="en-US" w:eastAsia="zh-CN"/>
        </w:rPr>
        <w:t>175bps)</w:t>
      </w:r>
      <w:r>
        <w:rPr>
          <w:rFonts w:hint="eastAsia"/>
          <w:sz w:val="21"/>
          <w:szCs w:val="21"/>
        </w:rPr>
        <w:t>：通胀失控或期限溢价过高，得分回落至 50-60（中性偏空）。</w:t>
      </w:r>
    </w:p>
    <w:p w14:paraId="7C365F9F">
      <w:pPr>
        <w:bidi w:val="0"/>
        <w:spacing w:line="240" w:lineRule="auto"/>
        <w:rPr>
          <w:rFonts w:hint="eastAsia"/>
          <w:sz w:val="21"/>
          <w:szCs w:val="21"/>
        </w:rPr>
      </w:pPr>
    </w:p>
    <w:p w14:paraId="0AF1D23B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因子3: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10Y 名义利率 (10Y Nominal Rate) - 权重 20%</w:t>
      </w:r>
    </w:p>
    <w:p w14:paraId="50ADF460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DGS10</w:t>
      </w:r>
    </w:p>
    <w:p w14:paraId="00D6698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10年期国债收益率，全球资产定价之锚。</w:t>
      </w:r>
    </w:p>
    <w:p w14:paraId="0439819E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它是DCF模型的分母。10Y利率上升，意味着未来的现金流折现到现在价值变低，直接杀估值（尤其是纳斯达克/成长股）。</w:t>
      </w:r>
    </w:p>
    <w:p w14:paraId="0AA95DBC">
      <w:pPr>
        <w:bidi w:val="0"/>
        <w:spacing w:line="240" w:lineRule="auto"/>
        <w:rPr>
          <w:rFonts w:hint="eastAsia"/>
          <w:sz w:val="21"/>
          <w:szCs w:val="21"/>
        </w:rPr>
      </w:pPr>
    </w:p>
    <w:p w14:paraId="583242B9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因子4: 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2Y 名义利率 (2Y Nominal Rate) - 权重 10%</w:t>
      </w:r>
    </w:p>
    <w:p w14:paraId="7F484C0C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DGS2</w:t>
      </w:r>
    </w:p>
    <w:p w14:paraId="3D95C7BE">
      <w:pPr>
        <w:bidi w:val="0"/>
        <w:spacing w:line="240" w:lineRule="auto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对美联储未来政策路径最敏感的利率。</w:t>
      </w:r>
    </w:p>
    <w:p w14:paraId="78759229">
      <w:pPr>
        <w:bidi w:val="0"/>
        <w:spacing w:line="240" w:lineRule="auto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2Y利率是美联储政策的“影子”。如果2Y利率暴涨，说明市场预期美联储将加息或维持高利率更久 (Higher for Longer)。</w:t>
      </w:r>
    </w:p>
    <w:p w14:paraId="1EA924B5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72324221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因子5:  30Y 名义利率 (30Y Nominal Rate) - 权重 10%</w:t>
      </w:r>
    </w:p>
    <w:p w14:paraId="41D5AA51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DGS30</w:t>
      </w:r>
    </w:p>
    <w:p w14:paraId="15C6C31F">
      <w:pPr>
        <w:bidi w:val="0"/>
        <w:spacing w:line="240" w:lineRule="auto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超长期限融资成本。</w:t>
      </w:r>
    </w:p>
    <w:p w14:paraId="10A10853">
      <w:pPr>
        <w:bidi w:val="0"/>
        <w:spacing w:line="240" w:lineRule="auto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反映了“期限溢价”和对美国财政赤字的担忧。如果30Y飙升，往往意味着市场担心美国发债太多或长期通胀失控。</w:t>
      </w:r>
    </w:p>
    <w:p w14:paraId="771E309C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682C8F84">
      <w:pPr>
        <w:bidi w:val="0"/>
        <w:spacing w:line="240" w:lineRule="auto"/>
        <w:rPr>
          <w:rFonts w:hint="eastAsia"/>
          <w:sz w:val="21"/>
          <w:szCs w:val="21"/>
        </w:rPr>
      </w:pPr>
    </w:p>
    <w:p w14:paraId="0AFC0C42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动量惩罚</w:t>
      </w:r>
    </w:p>
    <w:p w14:paraId="10217F51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逻辑：监测长端利率（10Y/30Y）的变化速度。即便绝对利率不高，若 60天内 </w:t>
      </w:r>
      <w:r>
        <w:rPr>
          <w:rFonts w:hint="eastAsia"/>
          <w:sz w:val="21"/>
          <w:szCs w:val="21"/>
          <w:lang w:val="en-US" w:eastAsia="zh-CN"/>
        </w:rPr>
        <w:t>快速上行</w:t>
      </w:r>
      <w:r>
        <w:rPr>
          <w:rFonts w:hint="default"/>
          <w:sz w:val="21"/>
          <w:szCs w:val="21"/>
          <w:lang w:val="en-US" w:eastAsia="zh-CN"/>
        </w:rPr>
        <w:t>&gt;</w:t>
      </w:r>
      <w:r>
        <w:rPr>
          <w:rFonts w:hint="eastAsia"/>
          <w:sz w:val="21"/>
          <w:szCs w:val="21"/>
          <w:lang w:val="en-US" w:eastAsia="zh-CN"/>
        </w:rPr>
        <w:t>15</w:t>
      </w:r>
      <w:r>
        <w:rPr>
          <w:rFonts w:hint="eastAsia"/>
          <w:sz w:val="21"/>
          <w:szCs w:val="21"/>
        </w:rPr>
        <w:t xml:space="preserve">bps，模型会自动触发 </w:t>
      </w:r>
      <w:r>
        <w:rPr>
          <w:rFonts w:hint="eastAsia"/>
          <w:sz w:val="21"/>
          <w:szCs w:val="21"/>
          <w:lang w:val="en-US" w:eastAsia="zh-CN"/>
        </w:rPr>
        <w:t xml:space="preserve">0.2 - </w:t>
      </w:r>
      <w:r>
        <w:rPr>
          <w:rFonts w:hint="eastAsia"/>
          <w:sz w:val="21"/>
          <w:szCs w:val="21"/>
        </w:rPr>
        <w:t>0.8x 的折扣惩罚，以反映资产定价的“休克风险”。</w:t>
      </w:r>
    </w:p>
    <w:p w14:paraId="355E455A">
      <w:pPr>
        <w:bidi w:val="0"/>
        <w:spacing w:line="240" w:lineRule="auto"/>
        <w:rPr>
          <w:rFonts w:hint="eastAsia"/>
          <w:sz w:val="21"/>
          <w:szCs w:val="21"/>
        </w:rPr>
      </w:pPr>
    </w:p>
    <w:p w14:paraId="2F2B4B9C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3.4 模块 D：实际利率与通胀</w:t>
      </w:r>
    </w:p>
    <w:p w14:paraId="62FACFC6">
      <w:pPr>
        <w:bidi w:val="0"/>
        <w:spacing w:line="240" w:lineRule="auto"/>
        <w:rPr>
          <w:rFonts w:hint="eastAsia"/>
          <w:sz w:val="21"/>
          <w:szCs w:val="21"/>
        </w:rPr>
      </w:pPr>
    </w:p>
    <w:p w14:paraId="1C62220B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D模块剥离了名义利率中的“水分”，直击资金最硬核的成本。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1. 实际利率 ： 公式为 </w:t>
      </w:r>
      <w:r>
        <w:rPr>
          <w:rFonts w:hint="eastAsia"/>
          <w:b/>
          <w:bCs/>
          <w:sz w:val="21"/>
          <w:szCs w:val="21"/>
          <w:lang w:val="en-US" w:eastAsia="zh-CN"/>
        </w:rPr>
        <w:t>名义利率 - 通胀预期</w:t>
      </w:r>
      <w:r>
        <w:rPr>
          <w:rFonts w:hint="eastAsia"/>
          <w:sz w:val="21"/>
          <w:szCs w:val="21"/>
          <w:lang w:val="en-US" w:eastAsia="zh-CN"/>
        </w:rPr>
        <w:t>。这是企业和个人经过通胀调整后的真实还款压力。该因子权重最高，且越低得分越高。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2. 通胀预期 ： 采用 MID_BEST 靶心偏差模型。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目标 (Target)：2.1% (美联储的长期目标)。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   失锚 ：如果预期跌破 1.5% (通缩/萧条) 或 突破 2.7% (通胀失控)，模型都会给予低分惩罚。</w:t>
      </w:r>
    </w:p>
    <w:p w14:paraId="1C11E86D">
      <w:pPr>
        <w:bidi w:val="0"/>
        <w:spacing w:line="240" w:lineRule="auto"/>
        <w:rPr>
          <w:rFonts w:hint="eastAsia"/>
          <w:sz w:val="21"/>
          <w:szCs w:val="21"/>
        </w:rPr>
      </w:pPr>
    </w:p>
    <w:p w14:paraId="14BD2FAE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 1：10年期实际利率 (10Y Real Yield) —— 权重 40%</w:t>
      </w:r>
    </w:p>
    <w:p w14:paraId="3A9238E6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DFII10</w:t>
      </w:r>
    </w:p>
    <w:p w14:paraId="2067E8E4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TIPS (通胀保值债券) 的收益率。</w:t>
      </w:r>
    </w:p>
    <w:p w14:paraId="02FAB14C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量化逻辑：名义利率 - 通胀预期。</w:t>
      </w:r>
      <w:r>
        <w:rPr>
          <w:rFonts w:hint="eastAsia"/>
          <w:sz w:val="21"/>
          <w:szCs w:val="21"/>
          <w:lang w:val="en-US" w:eastAsia="zh-CN"/>
        </w:rPr>
        <w:t>因为名义利率高不可怕，如果通胀也高，实际还款压力其实不大。但如果“名义高、通胀低”（高实际利率），那就是对企业的最大绞杀。</w:t>
      </w:r>
    </w:p>
    <w:p w14:paraId="4D000771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杀估值区 (&gt; 2.0%)：严重扣分。</w:t>
      </w:r>
    </w:p>
    <w:p w14:paraId="121E7458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刺激区 (&lt; 0.5%)：显著加分。</w:t>
      </w:r>
    </w:p>
    <w:p w14:paraId="31357459">
      <w:pPr>
        <w:bidi w:val="0"/>
        <w:spacing w:line="240" w:lineRule="auto"/>
        <w:rPr>
          <w:rFonts w:hint="eastAsia"/>
          <w:sz w:val="21"/>
          <w:szCs w:val="21"/>
        </w:rPr>
      </w:pPr>
    </w:p>
    <w:p w14:paraId="661D8D86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因子 2：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5Y 实际利率 (5Y Real Yield) - 权重 30%</w:t>
      </w:r>
    </w:p>
    <w:p w14:paraId="1726A5C9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DFII5</w:t>
      </w:r>
    </w:p>
    <w:p w14:paraId="583FF30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中期真实融资成本。</w:t>
      </w:r>
    </w:p>
    <w:p w14:paraId="6579EAC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相比10Y，5Y实际利率对实体经济（如车贷、商业贷款）的敏感度更高。它是观察中期紧缩压力的窗口。</w:t>
      </w:r>
    </w:p>
    <w:p w14:paraId="4BE07C80">
      <w:pPr>
        <w:bidi w:val="0"/>
        <w:spacing w:line="240" w:lineRule="auto"/>
        <w:rPr>
          <w:rFonts w:hint="eastAsia"/>
          <w:sz w:val="21"/>
          <w:szCs w:val="21"/>
        </w:rPr>
      </w:pPr>
    </w:p>
    <w:p w14:paraId="33346911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3: 10Y Breakeven (盈亏平衡通胀率) - 权重 30%</w:t>
      </w:r>
    </w:p>
    <w:p w14:paraId="7A58C629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T10YIE</w:t>
      </w:r>
    </w:p>
    <w:p w14:paraId="5DB57334">
      <w:pPr>
        <w:bidi w:val="0"/>
        <w:spacing w:line="240" w:lineRule="auto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市场交易出来的未来10年平均通胀预期。</w:t>
      </w:r>
    </w:p>
    <w:p w14:paraId="312B0B8E">
      <w:pPr>
        <w:bidi w:val="0"/>
        <w:spacing w:line="240" w:lineRule="auto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它不在于越低越好，而在于锚定。只要它稳定在 2.0%-2.5% 之间，美联储就敢降息（利好）；如果它失控飙升，美联储就必须加息杀通胀（利空）。</w:t>
      </w:r>
    </w:p>
    <w:p w14:paraId="27D845CC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无论是向上脱锚 (&gt; 2.7%) 还是向下脱锚 (&lt; 1.5%)，都会导致得分下降。</w:t>
      </w:r>
    </w:p>
    <w:p w14:paraId="303C4036">
      <w:pPr>
        <w:bidi w:val="0"/>
        <w:spacing w:line="240" w:lineRule="auto"/>
        <w:rPr>
          <w:rFonts w:hint="eastAsia"/>
          <w:sz w:val="21"/>
          <w:szCs w:val="21"/>
        </w:rPr>
      </w:pPr>
    </w:p>
    <w:p w14:paraId="5541ABB2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3.5 模块 E：外部冲击与汇率</w:t>
      </w:r>
    </w:p>
    <w:p w14:paraId="1A87EE16">
      <w:pPr>
        <w:bidi w:val="0"/>
        <w:spacing w:line="240" w:lineRule="auto"/>
        <w:rPr>
          <w:rFonts w:hint="eastAsia"/>
          <w:sz w:val="21"/>
          <w:szCs w:val="21"/>
        </w:rPr>
      </w:pPr>
    </w:p>
    <w:p w14:paraId="5E35CD5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本模块得分基于63天动量趋势 + 历史分位，满分 100 分（50分=中性）：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1. 日元套息成本： 监测全球融资成本是否上升（利率）以及是否发生平仓（汇率）。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2. 美元成本： 监测全球美元流动性的松紧。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3. 能源成本： 监测通胀输入的压力（石油+天然气）。</w:t>
      </w:r>
    </w:p>
    <w:p w14:paraId="5E08AADA">
      <w:pPr>
        <w:bidi w:val="0"/>
        <w:spacing w:line="240" w:lineRule="auto"/>
        <w:rPr>
          <w:rFonts w:hint="eastAsia"/>
          <w:sz w:val="21"/>
          <w:szCs w:val="21"/>
        </w:rPr>
      </w:pPr>
    </w:p>
    <w:p w14:paraId="1BEE5FEE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1：日本无抵押隔夜拆借利率 (Call Rate)</w:t>
      </w:r>
    </w:p>
    <w:p w14:paraId="7A60970E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IRSTCI01JPM156N</w:t>
      </w:r>
    </w:p>
    <w:p w14:paraId="36030634">
      <w:pPr>
        <w:bidi w:val="0"/>
        <w:spacing w:line="240" w:lineRule="auto"/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数据源： 银行间无担保隔夜拆借利率 (Call Rate)，是市场实际成交的短端利率。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核心逻辑： 这是全球套息交易 (Carry Trade) 的“资金成本底座”。虽然央行设定了政策目标利率，但这个市场利率反映了金融体系实际的资金稀缺程度。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传导机制： 对冲基金借入低息日元(Short JPY) -&gt; 买入美股/美债(Long USD)。如果这个利率上涨，意味着“借钱买资产”的成本变高，杠杆收益下降，迫使资金去杠杆。</w:t>
      </w:r>
    </w:p>
    <w:p w14:paraId="7FB7ED7D">
      <w:pPr>
        <w:bidi w:val="0"/>
        <w:spacing w:line="240" w:lineRule="auto"/>
        <w:rPr>
          <w:rFonts w:hint="eastAsia"/>
          <w:sz w:val="21"/>
          <w:szCs w:val="21"/>
        </w:rPr>
      </w:pPr>
    </w:p>
    <w:p w14:paraId="07389153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2: 日元 USD/JPY 汇率</w:t>
      </w:r>
    </w:p>
    <w:p w14:paraId="5364DAB2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DEXJPUS</w:t>
      </w:r>
    </w:p>
    <w:p w14:paraId="3A7E45E3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套息交易 (Carry Trade) 的核心风向标</w:t>
      </w:r>
      <w:r>
        <w:rPr>
          <w:rFonts w:hint="eastAsia"/>
          <w:sz w:val="21"/>
          <w:szCs w:val="21"/>
          <w:lang w:val="en-US" w:eastAsia="zh-CN"/>
        </w:rPr>
        <w:t>。</w:t>
      </w:r>
      <w:r>
        <w:rPr>
          <w:rFonts w:hint="default"/>
          <w:sz w:val="21"/>
          <w:szCs w:val="21"/>
          <w:lang w:val="en-US" w:eastAsia="zh-CN"/>
        </w:rPr>
        <w:t>过去几十年，全球对冲基金借入低息日元，买入高息美股/美债。</w:t>
      </w:r>
    </w:p>
    <w:p w14:paraId="7CC2F906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风险：当日元大幅升值 (USD/JPY 暴跌) 时，借日元的人还款成本激增，被迫卖资产、换日元、还债。引发跨资产类别的连锁崩盘。</w:t>
      </w:r>
    </w:p>
    <w:p w14:paraId="3939AA2C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信号解读：汇率上行 (日元贬值) =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利好 (套息交易继续，流动性充裕)。</w:t>
      </w:r>
    </w:p>
    <w:p w14:paraId="5CC3E99C">
      <w:pPr>
        <w:bidi w:val="0"/>
        <w:spacing w:line="240" w:lineRule="auto"/>
        <w:ind w:firstLine="1050" w:firstLineChars="5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汇率暴跌 (日元升值) = 利空 (平仓踩踏，流动性休克)。</w:t>
      </w:r>
    </w:p>
    <w:p w14:paraId="2A032C01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5F091E87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因子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：美元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指数</w:t>
      </w: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 </w:t>
      </w:r>
    </w:p>
    <w:p w14:paraId="023E9E46">
      <w:pPr>
        <w:bidi w:val="0"/>
        <w:spacing w:line="240" w:lineRule="auto"/>
        <w:rPr>
          <w:rFonts w:hint="default"/>
          <w:b/>
          <w:bCs/>
          <w:sz w:val="21"/>
          <w:szCs w:val="21"/>
          <w:lang w:val="en-US"/>
        </w:rPr>
      </w:pPr>
      <w:r>
        <w:rPr>
          <w:rFonts w:hint="eastAsia"/>
          <w:b/>
          <w:bCs/>
          <w:sz w:val="21"/>
          <w:szCs w:val="21"/>
        </w:rPr>
        <w:t>DTWEXAFEGS</w:t>
      </w:r>
      <w:r>
        <w:rPr>
          <w:rFonts w:hint="default"/>
          <w:b/>
          <w:bCs/>
          <w:sz w:val="21"/>
          <w:szCs w:val="21"/>
          <w:lang w:val="en-US"/>
        </w:rPr>
        <w:t xml:space="preserve"> </w:t>
      </w:r>
    </w:p>
    <w:p w14:paraId="68E1D48A">
      <w:pPr>
        <w:bidi w:val="0"/>
        <w:spacing w:line="240" w:lineRule="auto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 xml:space="preserve">DXY </w:t>
      </w:r>
      <w:r>
        <w:rPr>
          <w:rFonts w:hint="eastAsia"/>
          <w:sz w:val="21"/>
          <w:szCs w:val="21"/>
          <w:lang w:val="en-US" w:eastAsia="zh-CN"/>
        </w:rPr>
        <w:t>Major 非（DXY Index）</w:t>
      </w:r>
      <w:r>
        <w:rPr>
          <w:rFonts w:hint="eastAsia"/>
          <w:sz w:val="21"/>
          <w:szCs w:val="21"/>
        </w:rPr>
        <w:t>(金融属性)</w:t>
      </w:r>
      <w:r>
        <w:rPr>
          <w:rFonts w:hint="eastAsia"/>
          <w:sz w:val="21"/>
          <w:szCs w:val="21"/>
          <w:lang w:eastAsia="zh-CN"/>
        </w:rPr>
        <w:t>：</w:t>
      </w:r>
    </w:p>
    <w:p w14:paraId="35D93E0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以欧元、日元为主。</w:t>
      </w:r>
    </w:p>
    <w:p w14:paraId="12691AE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逻辑：主要影响发达国家市场和金融衍生品。DXY 飙升通常代表全球金融体系在“去杠杆”，是避险模式 (Risk-Off) 的特征。</w:t>
      </w:r>
    </w:p>
    <w:p w14:paraId="70C22881">
      <w:pPr>
        <w:bidi w:val="0"/>
        <w:spacing w:line="240" w:lineRule="auto"/>
        <w:rPr>
          <w:rFonts w:hint="eastAsia"/>
          <w:sz w:val="21"/>
          <w:szCs w:val="21"/>
        </w:rPr>
      </w:pPr>
    </w:p>
    <w:p w14:paraId="71A36F79">
      <w:pPr>
        <w:bidi w:val="0"/>
        <w:spacing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DTWEXBGS</w:t>
      </w:r>
    </w:p>
    <w:p w14:paraId="6C707A6D">
      <w:pPr>
        <w:bidi w:val="0"/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广义美元指数 </w:t>
      </w:r>
      <w:r>
        <w:rPr>
          <w:rFonts w:hint="eastAsia"/>
          <w:sz w:val="21"/>
          <w:szCs w:val="21"/>
        </w:rPr>
        <w:t>Broad Dollar (贸易属性)</w:t>
      </w:r>
      <w:r>
        <w:rPr>
          <w:rFonts w:hint="eastAsia"/>
          <w:sz w:val="21"/>
          <w:szCs w:val="21"/>
          <w:lang w:eastAsia="zh-CN"/>
        </w:rPr>
        <w:t>：</w:t>
      </w:r>
    </w:p>
    <w:p w14:paraId="507A501F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包含人民币、比索等主要贸易伙伴货币。</w:t>
      </w:r>
    </w:p>
    <w:p w14:paraId="2AF7298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逻辑：主要影响实体经济和新兴市场。该指数走强，意味着全球贸易融资成本变贵，新兴市场偿债压力剧增，易引发债务违约危机。</w:t>
      </w:r>
    </w:p>
    <w:p w14:paraId="30116A77">
      <w:pPr>
        <w:bidi w:val="0"/>
        <w:spacing w:line="240" w:lineRule="auto"/>
        <w:rPr>
          <w:rFonts w:hint="eastAsia"/>
          <w:sz w:val="21"/>
          <w:szCs w:val="21"/>
        </w:rPr>
      </w:pPr>
    </w:p>
    <w:p w14:paraId="6430B597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信号解读：两者均为负向计分。美元越强，环境越紧缩。</w:t>
      </w:r>
    </w:p>
    <w:p w14:paraId="2BAE4302">
      <w:pPr>
        <w:bidi w:val="0"/>
        <w:spacing w:line="240" w:lineRule="auto"/>
        <w:rPr>
          <w:rFonts w:hint="eastAsia"/>
          <w:sz w:val="21"/>
          <w:szCs w:val="21"/>
        </w:rPr>
      </w:pPr>
    </w:p>
    <w:p w14:paraId="1259791F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 xml:space="preserve">因子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4: 原油 (WTI Crude Oil)</w:t>
      </w:r>
    </w:p>
    <w:p w14:paraId="478E9735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DCOILWTICO</w:t>
      </w:r>
    </w:p>
    <w:p w14:paraId="47759780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油价不仅是成本，更被视为对经济增长的征税。</w:t>
      </w:r>
    </w:p>
    <w:p w14:paraId="3AA4EAF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量化逻辑：13周动量监测。</w:t>
      </w:r>
    </w:p>
    <w:p w14:paraId="7F0AA72B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模型并不在意油价的绝对高低，而在意变化速度。如果油价在短期内（1个季度）暴涨 &gt;20%，将引发通胀预期失控，迫使美联储维持高利率 (Higher for Longer)。</w:t>
      </w:r>
    </w:p>
    <w:p w14:paraId="0047A7C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信号解读：油价暴涨 = 利空 (滞胀风险)；油价平稳/下跌 =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利好 (通胀温和)。</w:t>
      </w:r>
    </w:p>
    <w:p w14:paraId="18EE7048">
      <w:pPr>
        <w:bidi w:val="0"/>
        <w:spacing w:line="240" w:lineRule="auto"/>
        <w:rPr>
          <w:rFonts w:hint="eastAsia"/>
          <w:sz w:val="21"/>
          <w:szCs w:val="21"/>
        </w:rPr>
      </w:pPr>
    </w:p>
    <w:p w14:paraId="22908486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5：天然气</w:t>
      </w:r>
    </w:p>
    <w:p w14:paraId="5C368A47">
      <w:pPr>
        <w:bidi w:val="0"/>
        <w:spacing w:line="240" w:lineRule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DHHNGSP</w:t>
      </w:r>
    </w:p>
    <w:p w14:paraId="27D82D92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工业生产与电力成本的边际变量。相比原油，天然气的波动率极高，且具有更强的季节性和地缘政治属性（如欧洲/俄罗斯关系）。监测供给侧冲击。</w:t>
      </w:r>
    </w:p>
    <w:p w14:paraId="178F5131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量化逻辑：辅助监测。防止能源价格共振。若天然气与原油同时飙升，模型会判定为“结构性通胀风险”，加倍扣分。</w:t>
      </w:r>
    </w:p>
    <w:p w14:paraId="3774AD4C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6BA40BB7">
      <w:pPr>
        <w:bidi w:val="0"/>
        <w:spacing w:line="240" w:lineRule="auto"/>
        <w:rPr>
          <w:rFonts w:hint="eastAsia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3.</w:t>
      </w:r>
      <w:r>
        <w:rPr>
          <w:rFonts w:hint="eastAsia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6</w:t>
      </w: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 xml:space="preserve"> 模块 </w:t>
      </w:r>
      <w:r>
        <w:rPr>
          <w:rFonts w:hint="eastAsia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F</w:t>
      </w:r>
      <w:r>
        <w:rPr>
          <w:rFonts w:hint="eastAsia"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：</w:t>
      </w:r>
      <w:r>
        <w:rPr>
          <w:rFonts w:hint="eastAsia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信用压力</w:t>
      </w:r>
    </w:p>
    <w:p w14:paraId="7DD91166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本模块得分基于信用利差的历史分位 + 13周动量趋势，满分 100 分（50分=中性）。 核心逻辑回答的问题：企业融资的压力有没有在明显变大？</w:t>
      </w:r>
    </w:p>
    <w:p w14:paraId="278F3948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高收益债风险： 监测高风险企业融资成本（最敏感、最先动）。</w:t>
      </w:r>
    </w:p>
    <w:p w14:paraId="793CA8E4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信用恶化趋势： 监测信用风险是否处于加速恶化阶段。</w:t>
      </w:r>
    </w:p>
    <w:p w14:paraId="4F5B3E30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投资级压力： 监测广义好公司的稳态融资成本（更稳态、覆盖更广）。</w:t>
      </w:r>
    </w:p>
    <w:p w14:paraId="48642260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打分公式： 由于利差越高代表风险越大（负相关），Score = 100 - Percentile(Spread)。</w:t>
      </w:r>
    </w:p>
    <w:p w14:paraId="24AF391A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ABB154C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60804F99">
      <w:pPr>
        <w:bidi w:val="0"/>
        <w:spacing w:line="240" w:lineRule="auto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600C9FB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1：高收益利差水平 (HY Spread) - 权重 50%</w:t>
      </w:r>
    </w:p>
    <w:p w14:paraId="05D2C683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BAMLH0A0HYM2</w:t>
      </w:r>
    </w:p>
    <w:p w14:paraId="1CD4B659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定义：垃圾债（Junk Bonds）相对于同期限国债的期权调整利差。</w:t>
      </w:r>
    </w:p>
    <w:p w14:paraId="56301440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量化逻辑： 垃圾债相对安全资产的风险溢价。信用利差是市场对“风险偏好、流动性和信用质量”的综合定价。垃圾债发行人通常现金流脆弱，对流动性收紧极其敏感。   </w:t>
      </w:r>
    </w:p>
    <w:p w14:paraId="512DCE87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</w:p>
    <w:p w14:paraId="2E82C5EE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信号解读：</w:t>
      </w:r>
    </w:p>
    <w:p w14:paraId="32E4263C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利差下行 = 利好 (🟢 信用压力缓解，市场风险偏好上升)。</w:t>
      </w:r>
    </w:p>
    <w:p w14:paraId="2BE264F0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利差上行 = 利空 ( 违约风险上升，资金收紧)。</w:t>
      </w:r>
    </w:p>
    <w:p w14:paraId="3479082D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</w:p>
    <w:p w14:paraId="3048D75F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2：高收益利差趋势 (HY Spread Trend 13-Week)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- </w:t>
      </w: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权重：30%</w:t>
      </w:r>
    </w:p>
    <w:p w14:paraId="73BF3AA8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HY Spread 13 周的变化速率（动量</w:t>
      </w:r>
    </w:p>
    <w:p w14:paraId="60FC2226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</w:p>
    <w:p w14:paraId="7D87E968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核心逻辑： 监测变化的“加速度”。仅仅看绝对值（因子1）是不够的，如果利差在短时间内突然大幅走阔，说明“信用压力在加速恶化”。此因子用于捕捉信用风险的拐点和爆发阶段。</w:t>
      </w:r>
    </w:p>
    <w:p w14:paraId="7373B174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</w:p>
    <w:p w14:paraId="623288C3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信号解读：</w:t>
      </w:r>
    </w:p>
    <w:p w14:paraId="4CE7D915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趋势收敛 = 利好 (🟢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/>
          <w:color w:val="auto"/>
          <w:sz w:val="21"/>
          <w:szCs w:val="21"/>
          <w:lang w:val="en-US" w:eastAsia="zh-CN"/>
        </w:rPr>
        <w:t>压力减速，恐慌情绪消退)。</w:t>
      </w:r>
    </w:p>
    <w:p w14:paraId="064BE237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趋势扩大 = 利空 (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/>
          <w:color w:val="auto"/>
          <w:sz w:val="21"/>
          <w:szCs w:val="21"/>
          <w:lang w:val="en-US" w:eastAsia="zh-CN"/>
        </w:rPr>
        <w:t>风险加速，警惕流动性危机爆发)。</w:t>
      </w:r>
    </w:p>
    <w:p w14:paraId="3FA2DCCC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</w:p>
    <w:p w14:paraId="6D6F8B2C">
      <w:pPr>
        <w:bidi w:val="0"/>
        <w:spacing w:line="240" w:lineRule="auto"/>
        <w:rPr>
          <w:rFonts w:hint="default"/>
          <w:color w:val="auto"/>
          <w:sz w:val="21"/>
          <w:szCs w:val="21"/>
          <w:lang w:val="en-US" w:eastAsia="zh-CN"/>
        </w:rPr>
      </w:pPr>
    </w:p>
    <w:p w14:paraId="456819E4">
      <w:pPr>
        <w:bidi w:val="0"/>
        <w:spacing w:line="240" w:lineRule="auto"/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3：投资级信用利差 (BAA-10Y Spread) - 权重：20%</w:t>
      </w:r>
    </w:p>
    <w:p w14:paraId="14CD1FE4">
      <w:pPr>
        <w:bidi w:val="0"/>
        <w:spacing w:line="240" w:lineRule="auto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BAA10Y</w:t>
      </w:r>
    </w:p>
    <w:p w14:paraId="75923F0F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定义： 穆迪 BAA 级企业债收益率减去 10 年期国债收益率（Investment Grade Stress）。代表投资级（好公司）企业的融资成本压力。</w:t>
      </w:r>
    </w:p>
    <w:p w14:paraId="43412708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</w:p>
    <w:p w14:paraId="12CE580D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量化逻辑：相比 HY 的高波动，BAA 利差更稳态、覆盖范围更广。如果连评级良好的公司融资成本都相对于国债显著变贵，说明宏观层面的融资环境正在全面收紧，这避免了仅由 HY 单一波动主导模型。</w:t>
      </w:r>
    </w:p>
    <w:p w14:paraId="2A5A24C6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信号解读：</w:t>
      </w:r>
    </w:p>
    <w:p w14:paraId="060B2C60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利差下行 = 利好 (🟢 稳态融资环境改善)。</w:t>
      </w:r>
    </w:p>
    <w:p w14:paraId="49154317">
      <w:pPr>
        <w:bidi w:val="0"/>
        <w:spacing w:line="240" w:lineRule="auto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利差上行 = 利空 ( 广义实体经济融资变贵)。</w:t>
      </w:r>
    </w:p>
    <w:p w14:paraId="055BB3F1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7EFE3A03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48B4A4D0">
      <w:pPr>
        <w:bidi w:val="0"/>
        <w:spacing w:line="240" w:lineRule="auto"/>
        <w:rPr>
          <w:rFonts w:hint="default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3.7 模块 G：情绪与风险偏好</w:t>
      </w:r>
    </w:p>
    <w:p w14:paraId="1F7BFDAB">
      <w:pPr>
        <w:bidi w:val="0"/>
        <w:spacing w:line="240" w:lineRule="auto"/>
        <w:rPr>
          <w:rFonts w:hint="default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75D7B7D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本模块得分基于波动率期限结构 + 价格动量趋势的历史分位，满分 100 分（50分=中性）。 核心逻辑回答的问题：“市场更倾向冒险还是避险？”</w:t>
      </w:r>
    </w:p>
    <w:p w14:paraId="4EBB4483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恐慌程度（情绪）： 监测 VIX 绝对水平，衡量市场“怕不怕”。</w:t>
      </w:r>
    </w:p>
    <w:p w14:paraId="4D43AAD8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恐慌结构（期限）： 监测短期恐慌是否突然飙升（期限倒挂）。</w:t>
      </w:r>
    </w:p>
    <w:p w14:paraId="16B6BC89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价格验证（行为）： 监测资金是用脚投票（卖出）还是用钱投票（买入）。</w:t>
      </w:r>
    </w:p>
    <w:p w14:paraId="33D8748F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打分公式： 数值越高代表风险越大（负相关），Score = 100 - Percentile(Value)。如果是价格动量（正相关），则直接使用分位。</w:t>
      </w:r>
    </w:p>
    <w:p w14:paraId="03553C92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58E86DC0">
      <w:pPr>
        <w:bidi w:val="0"/>
        <w:spacing w:line="240" w:lineRule="auto"/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1：VIX 恐慌指数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- </w:t>
      </w: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权重：30%</w:t>
      </w:r>
    </w:p>
    <w:p w14:paraId="00F4A4B0">
      <w:pPr>
        <w:bidi w:val="0"/>
        <w:spacing w:line="240" w:lineRule="auto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VIX</w:t>
      </w:r>
    </w:p>
    <w:p w14:paraId="11873E1F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标普 500 期权隐含波动率 (CBOE Volatility Index)。</w:t>
      </w:r>
    </w:p>
    <w:p w14:paraId="3B5BE7E1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3DCE33A4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量化</w:t>
      </w:r>
      <w:r>
        <w:rPr>
          <w:rFonts w:hint="default"/>
          <w:sz w:val="21"/>
          <w:szCs w:val="21"/>
          <w:lang w:val="en-US" w:eastAsia="zh-CN"/>
        </w:rPr>
        <w:t>逻辑： VIX 被称为“市场恐惧指数”。它反映了期权市场对未来 30 天波动的预期。它是风险偏好下降最直观的信号。VIX 越高，代表市场对未来的不确定性越恐惧，资金倾向于回撤到避险资产。</w:t>
      </w:r>
    </w:p>
    <w:p w14:paraId="009A40C9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119111D0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信号解读：</w:t>
      </w:r>
    </w:p>
    <w:p w14:paraId="324444D8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指数下行 = 利好 (🟢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恐慌缓解，环境平稳)。</w:t>
      </w:r>
    </w:p>
    <w:p w14:paraId="3900957E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指数上行 = 利空 (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避险情绪升温，不确定性增加)。</w:t>
      </w:r>
    </w:p>
    <w:p w14:paraId="40E0E57F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534DE8D5">
      <w:pPr>
        <w:bidi w:val="0"/>
        <w:spacing w:line="240" w:lineRule="auto"/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因子 2：VIX 期限结构 (VIX/VXV Ratio)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- </w:t>
      </w: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权重：40%</w:t>
      </w:r>
    </w:p>
    <w:p w14:paraId="131FB8E2">
      <w:pPr>
        <w:bidi w:val="0"/>
        <w:spacing w:line="240" w:lineRule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VIX/VXV</w:t>
      </w:r>
    </w:p>
    <w:p w14:paraId="2DD733C8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1个月波动率 (VIX) 除以 3个月波动率 (VXV)。</w:t>
      </w:r>
    </w:p>
    <w:p w14:paraId="03A469AC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量化</w:t>
      </w:r>
      <w:r>
        <w:rPr>
          <w:rFonts w:hint="default"/>
          <w:sz w:val="21"/>
          <w:szCs w:val="21"/>
          <w:lang w:val="en-US" w:eastAsia="zh-CN"/>
        </w:rPr>
        <w:t>逻辑： 这是风险偏好恶化的核心前瞻信号。</w:t>
      </w:r>
    </w:p>
    <w:p w14:paraId="2DD98FFB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正常状态： 远期不确定性通常高于近期，所以 VXV &gt; VIX，比值 &lt; 1。</w:t>
      </w:r>
    </w:p>
    <w:p w14:paraId="54FF1D68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恐慌状态： 当突发性风险来临时，短期对冲需求激增，导致 VIX 飙升速度远超 VXV，比值突破 1（倒挂）。这通常伴随着市场的快速下跌。</w:t>
      </w:r>
    </w:p>
    <w:p w14:paraId="04D03AD1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6F1EDD0B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信号解读：</w:t>
      </w:r>
    </w:p>
    <w:p w14:paraId="64A1E9C2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比值 &lt; 1 = 利好 (🟢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结构稳定，情绪健康)。</w:t>
      </w:r>
    </w:p>
    <w:p w14:paraId="0A3D9ACA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比值 &gt; 1 = 利空 (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短端恐慌爆发，极度避险)。</w:t>
      </w:r>
    </w:p>
    <w:p w14:paraId="676F5339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359BF30A">
      <w:pPr>
        <w:bidi w:val="0"/>
        <w:spacing w:line="240" w:lineRule="auto"/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因子 3：标普500动量 </w:t>
      </w:r>
      <w:r>
        <w:rPr>
          <w:rFonts w:hint="eastAsia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- </w:t>
      </w:r>
      <w:r>
        <w:rPr>
          <w:rFonts w:hint="default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权重：30%</w:t>
      </w:r>
    </w:p>
    <w:p w14:paraId="327436A6">
      <w:pPr>
        <w:bidi w:val="0"/>
        <w:spacing w:line="240" w:lineRule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SPX</w:t>
      </w:r>
    </w:p>
    <w:p w14:paraId="22C21636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标普 500 指数 1 个季度（13周）的价格动量。</w:t>
      </w:r>
    </w:p>
    <w:p w14:paraId="59216B9C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量化</w:t>
      </w:r>
      <w:r>
        <w:rPr>
          <w:rFonts w:hint="default"/>
          <w:sz w:val="21"/>
          <w:szCs w:val="21"/>
          <w:lang w:val="en-US" w:eastAsia="zh-CN"/>
        </w:rPr>
        <w:t>逻辑： 风险偏好的价格层面的验证（行为）。有时 VIX 较低（看似平静），但股市却在阴跌。引入价格动量是为了确认“资金真实的流向”。股市上涨代表资金愿意承担风险（Risk-On），下跌代表资金在撤退（Risk-Off）。</w:t>
      </w:r>
    </w:p>
    <w:p w14:paraId="44DFFB45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50F525B2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信号解读：</w:t>
      </w:r>
    </w:p>
    <w:p w14:paraId="72D83787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趋势上行 = 利好 (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风险偏好回升，资金流入)。</w:t>
      </w:r>
    </w:p>
    <w:p w14:paraId="50460045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趋势下行 = 利空 (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风险偏好收缩，资金流出)。</w:t>
      </w:r>
    </w:p>
    <w:p w14:paraId="22EA6BA6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32A586B1">
      <w:pPr>
        <w:bidi w:val="0"/>
        <w:spacing w:line="240" w:lineRule="auto"/>
        <w:rPr>
          <w:rFonts w:hint="eastAsia"/>
          <w:sz w:val="21"/>
          <w:szCs w:val="21"/>
        </w:rPr>
      </w:pPr>
    </w:p>
    <w:p w14:paraId="3820BF0E">
      <w:pPr>
        <w:bidi w:val="0"/>
        <w:spacing w:line="240" w:lineRule="auto"/>
        <w:rPr>
          <w:rFonts w:hint="eastAsia"/>
          <w:sz w:val="21"/>
          <w:szCs w:val="21"/>
        </w:rPr>
      </w:pPr>
    </w:p>
    <w:p w14:paraId="4DDD5A67">
      <w:pPr>
        <w:bidi w:val="0"/>
        <w:spacing w:line="240" w:lineRule="auto"/>
        <w:rPr>
          <w:rFonts w:hint="eastAsia"/>
          <w:sz w:val="21"/>
          <w:szCs w:val="21"/>
        </w:rPr>
      </w:pPr>
    </w:p>
    <w:p w14:paraId="0BCA75CD">
      <w:pPr>
        <w:bidi w:val="0"/>
        <w:spacing w:line="240" w:lineRule="auto"/>
        <w:rPr>
          <w:rFonts w:hint="eastAsia"/>
          <w:sz w:val="21"/>
          <w:szCs w:val="21"/>
        </w:rPr>
      </w:pPr>
    </w:p>
    <w:p w14:paraId="087C3635">
      <w:pPr>
        <w:bidi w:val="0"/>
        <w:spacing w:line="240" w:lineRule="auto"/>
        <w:rPr>
          <w:rFonts w:hint="eastAsia"/>
          <w:sz w:val="21"/>
          <w:szCs w:val="21"/>
        </w:rPr>
      </w:pPr>
    </w:p>
    <w:p w14:paraId="229429DC">
      <w:pPr>
        <w:bidi w:val="0"/>
        <w:spacing w:line="240" w:lineRule="auto"/>
        <w:rPr>
          <w:rFonts w:hint="eastAsia"/>
        </w:rPr>
      </w:pPr>
      <w:r>
        <w:rPr>
          <w:rFonts w:hint="eastAsia"/>
          <w:sz w:val="21"/>
          <w:szCs w:val="21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F1828">
      <w:pPr>
        <w:pStyle w:val="4"/>
        <w:bidi w:val="0"/>
        <w:outlineLvl w:val="0"/>
        <w:rPr>
          <w:rFonts w:hint="eastAsia"/>
          <w:color w:val="auto"/>
        </w:rPr>
      </w:pPr>
      <w:bookmarkStart w:id="7" w:name="_Toc1344798504"/>
      <w:bookmarkStart w:id="8" w:name="_4. 信号解读与决策映射"/>
      <w:r>
        <w:rPr>
          <w:rFonts w:hint="eastAsia"/>
          <w:color w:val="auto"/>
        </w:rPr>
        <w:fldChar w:fldCharType="begin"/>
      </w:r>
      <w:r>
        <w:rPr>
          <w:rFonts w:hint="eastAsia"/>
          <w:color w:val="auto"/>
        </w:rPr>
        <w:instrText xml:space="preserve"> HYPERLINK \l "_4. 信号解读与决策映射" </w:instrText>
      </w:r>
      <w:r>
        <w:rPr>
          <w:rFonts w:hint="eastAsia"/>
          <w:color w:val="auto"/>
        </w:rPr>
        <w:fldChar w:fldCharType="separate"/>
      </w:r>
      <w:r>
        <w:rPr>
          <w:rStyle w:val="15"/>
          <w:rFonts w:hint="eastAsia"/>
          <w:color w:val="auto"/>
        </w:rPr>
        <w:t>4. 信号解读与决策映射</w:t>
      </w:r>
      <w:r>
        <w:rPr>
          <w:rFonts w:hint="eastAsia"/>
          <w:color w:val="auto"/>
        </w:rPr>
        <w:fldChar w:fldCharType="end"/>
      </w:r>
      <w:bookmarkEnd w:id="7"/>
    </w:p>
    <w:bookmarkEnd w:id="8"/>
    <w:p w14:paraId="104E4393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综合得分区间定义如下：</w:t>
      </w:r>
    </w:p>
    <w:tbl>
      <w:tblPr>
        <w:tblStyle w:val="11"/>
        <w:tblpPr w:leftFromText="180" w:rightFromText="180" w:vertAnchor="text" w:horzAnchor="page" w:tblpX="1819" w:tblpY="304"/>
        <w:tblOverlap w:val="never"/>
        <w:tblW w:w="8975" w:type="dxa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0"/>
        <w:gridCol w:w="1731"/>
        <w:gridCol w:w="1500"/>
        <w:gridCol w:w="2000"/>
        <w:gridCol w:w="2014"/>
      </w:tblGrid>
      <w:tr w14:paraId="3F47605D">
        <w:trPr>
          <w:trHeight w:val="618" w:hRule="atLeast"/>
          <w:tblHeader/>
          <w:tblCellSpacing w:w="15" w:type="dxa"/>
        </w:trPr>
        <w:tc>
          <w:tcPr>
            <w:tcW w:w="1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B021A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kern w:val="0"/>
                <w:sz w:val="18"/>
                <w:szCs w:val="18"/>
                <w:lang w:val="en-US" w:eastAsia="zh-CN" w:bidi="ar"/>
              </w:rPr>
              <w:t>宏观环境背景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767B2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sz w:val="18"/>
                <w:szCs w:val="18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kern w:val="0"/>
                <w:sz w:val="18"/>
                <w:szCs w:val="18"/>
                <w:lang w:val="en-US" w:eastAsia="zh-CN" w:bidi="ar"/>
              </w:rPr>
              <w:t>决策场景</w:t>
            </w: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919B7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sz w:val="18"/>
                <w:szCs w:val="18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kern w:val="0"/>
                <w:sz w:val="18"/>
                <w:szCs w:val="18"/>
                <w:lang w:val="en-US" w:eastAsia="zh-CN" w:bidi="ar"/>
              </w:rPr>
              <w:t>资产类型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5F6D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sz w:val="18"/>
                <w:szCs w:val="18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kern w:val="0"/>
                <w:sz w:val="18"/>
                <w:szCs w:val="18"/>
                <w:lang w:val="en-US" w:eastAsia="zh-CN" w:bidi="ar"/>
              </w:rPr>
              <w:t>市场技术面要求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6B53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sz w:val="18"/>
                <w:szCs w:val="18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/>
                <w:bCs w:val="0"/>
                <w:color w:val="1F1F1F"/>
                <w:kern w:val="0"/>
                <w:sz w:val="18"/>
                <w:szCs w:val="18"/>
                <w:lang w:val="en-US" w:eastAsia="zh-CN" w:bidi="ar"/>
              </w:rPr>
              <w:t>执行动作与仓位</w:t>
            </w:r>
          </w:p>
        </w:tc>
      </w:tr>
      <w:tr w14:paraId="2EA1E67C">
        <w:trPr>
          <w:trHeight w:val="1297" w:hRule="atLeast"/>
          <w:tblCellSpacing w:w="15" w:type="dxa"/>
        </w:trPr>
        <w:tc>
          <w:tcPr>
            <w:tcW w:w="1685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DD5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宏观环境优良 (50分及以上)</w:t>
            </w:r>
          </w:p>
        </w:tc>
        <w:tc>
          <w:tcPr>
            <w:tcW w:w="1701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6185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顺势</w:t>
            </w:r>
          </w:p>
          <w:p w14:paraId="6E0BE3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962A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BTC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33A3CF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短期均线在长期均线上方形成金叉，且价格站稳短期均线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DAF4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满仓：投入全部资金捕捉上涨趋势</w:t>
            </w:r>
          </w:p>
        </w:tc>
      </w:tr>
      <w:tr w14:paraId="61689CB6">
        <w:trPr>
          <w:tblCellSpacing w:w="15" w:type="dxa"/>
        </w:trPr>
        <w:tc>
          <w:tcPr>
            <w:tcW w:w="1685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26650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860FD95">
            <w:pPr>
              <w:bidi w:val="0"/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167D5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标普500 (SPY)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13D17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价格高于季度均线；若处于极强牛市(80分以上)，允许价格在均线附近有微小波动而不离场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0903B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满仓：投入全部资金，并在牛市中减少非必要止损</w:t>
            </w:r>
          </w:p>
        </w:tc>
      </w:tr>
      <w:tr w14:paraId="5128D05B">
        <w:trPr>
          <w:tblCellSpacing w:w="15" w:type="dxa"/>
        </w:trPr>
        <w:tc>
          <w:tcPr>
            <w:tcW w:w="1685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FD56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617EB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19DC8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黄金 (Gold)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0B73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价格高于季度均线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3B421D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增强：若宏观极佳(70分以上)则借力加码至1.5</w:t>
            </w:r>
            <w:r>
              <w:rPr>
                <w:rFonts w:hint="default" w:asciiTheme="minorEastAsia" w:hAnsi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x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仓位，否则满仓</w:t>
            </w:r>
          </w:p>
        </w:tc>
      </w:tr>
      <w:tr w14:paraId="02201971">
        <w:trPr>
          <w:tblCellSpacing w:w="15" w:type="dxa"/>
        </w:trPr>
        <w:tc>
          <w:tcPr>
            <w:tcW w:w="1685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B374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宏观环境较差 (50分以下)</w:t>
            </w:r>
          </w:p>
          <w:p w14:paraId="137E02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DB3B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防御</w:t>
            </w: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EC49D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default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bCs/>
                <w:color w:val="1F1F1F"/>
                <w:sz w:val="18"/>
                <w:szCs w:val="18"/>
                <w:lang w:val="en-US"/>
              </w:rPr>
              <w:t>BTC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8F77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价格依然维持在长期均线之上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71445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default" w:asciiTheme="minorEastAsia" w:hAnsi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 xml:space="preserve">Hold: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维持满仓持有，博弈价格的长期支撑韧性</w:t>
            </w:r>
          </w:p>
        </w:tc>
      </w:tr>
      <w:tr w14:paraId="7FE3AC68">
        <w:trPr>
          <w:tblCellSpacing w:w="15" w:type="dxa"/>
        </w:trPr>
        <w:tc>
          <w:tcPr>
            <w:tcW w:w="1685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C478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337C11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577E3E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SPY / 黄金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9C503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价格依然维持在半年生命线之上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8DE4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default" w:asciiTheme="minorEastAsia" w:hAnsi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 xml:space="preserve">Hold: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维持满仓持有，依赖长线趋势线防守</w:t>
            </w:r>
          </w:p>
        </w:tc>
      </w:tr>
      <w:tr w14:paraId="16635D02">
        <w:trPr>
          <w:tblCellSpacing w:w="15" w:type="dxa"/>
        </w:trPr>
        <w:tc>
          <w:tcPr>
            <w:tcW w:w="1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1846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宏观环境崩溃 (20分以下)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671C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极端抄底</w:t>
            </w: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CCCAC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所有资产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AA57B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市场出现极度超卖信号，比特币额外要求价格开始出现向上拐点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19BF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战术抄底：投入一半资金，博弈崩溃后的反弹</w:t>
            </w:r>
          </w:p>
        </w:tc>
      </w:tr>
      <w:tr w14:paraId="3FDCFEC1">
        <w:trPr>
          <w:trHeight w:val="90" w:hRule="atLeast"/>
          <w:tblCellSpacing w:w="15" w:type="dxa"/>
        </w:trPr>
        <w:tc>
          <w:tcPr>
            <w:tcW w:w="1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585857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宏观与技术面失灵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21B47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强制避险 (空仓模式)</w:t>
            </w:r>
          </w:p>
        </w:tc>
        <w:tc>
          <w:tcPr>
            <w:tcW w:w="14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533DB4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所有资产</w:t>
            </w:r>
          </w:p>
        </w:tc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8155E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宏观环境不佳且价格跌破了各自的关键防御均线</w:t>
            </w:r>
          </w:p>
        </w:tc>
        <w:tc>
          <w:tcPr>
            <w:tcW w:w="19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1AAD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完全空仓：撤出所有资金转入现金避险，规避下行风险</w:t>
            </w:r>
          </w:p>
        </w:tc>
      </w:tr>
    </w:tbl>
    <w:p w14:paraId="08A81D3C">
      <w:pPr>
        <w:bidi w:val="0"/>
        <w:spacing w:line="240" w:lineRule="auto"/>
        <w:rPr>
          <w:rFonts w:hint="eastAsia"/>
          <w:sz w:val="21"/>
          <w:szCs w:val="21"/>
        </w:rPr>
      </w:pPr>
    </w:p>
    <w:p w14:paraId="59C95DFB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8EF12">
      <w:pPr>
        <w:pStyle w:val="4"/>
        <w:bidi w:val="0"/>
        <w:rPr>
          <w:rFonts w:hint="eastAsia"/>
          <w:color w:val="auto"/>
          <w:lang w:val="en-US" w:eastAsia="zh-CN"/>
        </w:rPr>
      </w:pPr>
      <w:bookmarkStart w:id="9" w:name="_Toc1910555700"/>
      <w:bookmarkStart w:id="10" w:name="_5. 经济数据基本面"/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HYPERLINK \l "_5. 经济数据基本面"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rPr>
          <w:rStyle w:val="15"/>
          <w:rFonts w:hint="eastAsia"/>
          <w:color w:val="auto"/>
          <w:lang w:val="en-US" w:eastAsia="zh-CN"/>
        </w:rPr>
        <w:t>5. 经济数据基本面</w:t>
      </w:r>
      <w:r>
        <w:rPr>
          <w:rFonts w:hint="eastAsia"/>
          <w:color w:val="auto"/>
          <w:lang w:val="en-US" w:eastAsia="zh-CN"/>
        </w:rPr>
        <w:fldChar w:fldCharType="end"/>
      </w:r>
      <w:bookmarkEnd w:id="9"/>
    </w:p>
    <w:bookmarkEnd w:id="10"/>
    <w:p w14:paraId="12CF4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定位与数据源</w:t>
      </w:r>
    </w:p>
    <w:p w14:paraId="7AC2D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本模块独立于宏观金融评分系统（0-100分），因为数据具有滞后性，所以用作校准工具。数据来源于 FRED（部分也调用于BEA，BLS），用于验证市场预期与经济事实的偏差。</w:t>
      </w:r>
    </w:p>
    <w:p w14:paraId="445E2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逻辑：基于月度/季度数据的同比增速 (YoY) 及 绝对值水平，判定经济所处的真实周期阶段（复苏/过热/滞胀/衰退）。</w:t>
      </w:r>
    </w:p>
    <w:p w14:paraId="5554C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数据更新：非农（每月首个周五）、CPI（每月中旬）、GDP（季度末）、初请失业金：每周四发布上周数据。</w:t>
      </w:r>
    </w:p>
    <w:p w14:paraId="0CD8FFE0">
      <w:pPr>
        <w:rPr>
          <w:rFonts w:hint="eastAsia"/>
          <w:lang w:val="en-US" w:eastAsia="zh-CN"/>
        </w:rPr>
      </w:pPr>
    </w:p>
    <w:p w14:paraId="0BEA5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就业-消费-增长-通胀 指标详细判定标准</w:t>
      </w:r>
    </w:p>
    <w:p w14:paraId="64F09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以下判定逻辑与网页系统算法完全一致，使用者可据此解读 Dashboard 信号。</w:t>
      </w:r>
    </w:p>
    <w:p w14:paraId="77AE6D28">
      <w:pPr>
        <w:rPr>
          <w:rFonts w:hint="eastAsia"/>
          <w:lang w:val="en-US" w:eastAsia="zh-CN"/>
        </w:rPr>
      </w:pPr>
    </w:p>
    <w:p w14:paraId="74DA124A">
      <w:pPr>
        <w:numPr>
          <w:ilvl w:val="0"/>
          <w:numId w:val="1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就业 (Employment) </w:t>
      </w:r>
    </w:p>
    <w:p w14:paraId="6D12921E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653B2280">
      <w:pP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非农 (PAYEMS)、失业率 (UNRATE)、初请 (ICSA)</w:t>
      </w:r>
    </w:p>
    <w:p w14:paraId="7C53ABA2">
      <w:pP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94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1351"/>
        <w:gridCol w:w="2725"/>
        <w:gridCol w:w="4251"/>
      </w:tblGrid>
      <w:tr w14:paraId="709CC5DC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B96985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944450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区间/阈值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399C5E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状态判定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F65255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隐含宏观含义</w:t>
            </w:r>
          </w:p>
        </w:tc>
      </w:tr>
      <w:tr w14:paraId="4DCEAD08">
        <w:trPr>
          <w:tblCellSpacing w:w="15" w:type="dxa"/>
        </w:trPr>
        <w:tc>
          <w:tcPr>
            <w:tcW w:w="111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110A31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非农就业人数</w:t>
            </w:r>
          </w:p>
          <w:p w14:paraId="08C96B2A">
            <w:pPr>
              <w:jc w:val="center"/>
              <w:rPr>
                <w:rFonts w:hint="eastAsia"/>
                <w:lang w:val="en-US" w:eastAsia="zh-CN"/>
              </w:rPr>
            </w:pPr>
          </w:p>
          <w:p w14:paraId="68BC6F4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(月度新增)</w:t>
            </w: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DC246E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250k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AEBB9F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显著超预期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1A5B43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劳动力市场极度火热，薪资螺旋风险上升。利空债市，利多美元（鹰派预期）。</w:t>
            </w:r>
          </w:p>
        </w:tc>
      </w:tr>
      <w:tr w14:paraId="767B4697">
        <w:trPr>
          <w:tblCellSpacing w:w="15" w:type="dxa"/>
        </w:trPr>
        <w:tc>
          <w:tcPr>
            <w:tcW w:w="111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CF4C5BE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1FA662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150k - 250k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F30D8E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稳健区间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3BABCA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符合“软着陆”特征。就业足以支撑消费，且未引发过度通胀焦虑。理想状态。</w:t>
            </w:r>
          </w:p>
        </w:tc>
      </w:tr>
      <w:tr w14:paraId="471CE331">
        <w:trPr>
          <w:tblCellSpacing w:w="15" w:type="dxa"/>
        </w:trPr>
        <w:tc>
          <w:tcPr>
            <w:tcW w:w="111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1EE668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3CB8B9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50k - 150k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C57C01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温和放缓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3E9E19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紧缩政策生效，供需缺口弥合。市场开始计入温和降息预期。</w:t>
            </w:r>
          </w:p>
        </w:tc>
      </w:tr>
      <w:tr w14:paraId="65B7B026">
        <w:trPr>
          <w:tblCellSpacing w:w="15" w:type="dxa"/>
        </w:trPr>
        <w:tc>
          <w:tcPr>
            <w:tcW w:w="111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F0EEAFD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BCFE1A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50k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045162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大幅不及预期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9FE769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衰退警报。若非短期扰动（如罢工），将触发剧烈的避险交易。</w:t>
            </w:r>
          </w:p>
        </w:tc>
      </w:tr>
      <w:tr w14:paraId="1FA8F5B0">
        <w:trPr>
          <w:tblCellSpacing w:w="15" w:type="dxa"/>
        </w:trPr>
        <w:tc>
          <w:tcPr>
            <w:tcW w:w="111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CE0181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失业率</w:t>
            </w:r>
          </w:p>
          <w:p w14:paraId="781C14C6">
            <w:pPr>
              <w:jc w:val="center"/>
              <w:rPr>
                <w:rFonts w:hint="eastAsia"/>
                <w:lang w:val="en-US" w:eastAsia="zh-CN"/>
              </w:rPr>
            </w:pPr>
          </w:p>
          <w:p w14:paraId="274F245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(U-3)</w:t>
            </w:r>
            <w:r>
              <w:rPr>
                <w:rStyle w:val="17"/>
                <w:rFonts w:hint="eastAsia"/>
                <w:lang w:val="en-US" w:eastAsia="zh-CN"/>
              </w:rPr>
              <w:footnoteReference w:id="0"/>
            </w: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5CF581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4.5%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130598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实质性恶化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50E2C3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劳动力闲置产能增加，经济下行压力确认。</w:t>
            </w:r>
          </w:p>
        </w:tc>
      </w:tr>
      <w:tr w14:paraId="2AC89D30">
        <w:trPr>
          <w:tblCellSpacing w:w="15" w:type="dxa"/>
        </w:trPr>
        <w:tc>
          <w:tcPr>
            <w:tcW w:w="111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782B927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C765F6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4.0%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81ECAD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触发预警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E89DB0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突破心理关口。若从低点回升超过 0.5%，即触发“萨姆规则”衰退预警。</w:t>
            </w:r>
          </w:p>
        </w:tc>
      </w:tr>
      <w:tr w14:paraId="4D9F7E05">
        <w:trPr>
          <w:tblCellSpacing w:w="15" w:type="dxa"/>
        </w:trPr>
        <w:tc>
          <w:tcPr>
            <w:tcW w:w="111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5C9DA2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25C829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 4.0%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5BA91B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充分就业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69DDB1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经济韧性极强，美联储维持“Higher for Longer”利率政策的基础。</w:t>
            </w:r>
          </w:p>
        </w:tc>
      </w:tr>
      <w:tr w14:paraId="599C53C9">
        <w:trPr>
          <w:trHeight w:val="505" w:hRule="atLeast"/>
          <w:tblCellSpacing w:w="15" w:type="dxa"/>
        </w:trPr>
        <w:tc>
          <w:tcPr>
            <w:tcW w:w="111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240974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初请失业金</w:t>
            </w:r>
          </w:p>
          <w:p w14:paraId="1A7F05EE">
            <w:pPr>
              <w:jc w:val="center"/>
              <w:rPr>
                <w:rFonts w:hint="eastAsia"/>
                <w:lang w:val="en-US" w:eastAsia="zh-CN"/>
              </w:rPr>
            </w:pPr>
          </w:p>
          <w:p w14:paraId="510945F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(周度)</w:t>
            </w: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043C9F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220k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E25CE5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历史低位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5B7889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裁员浪潮尚未出现。</w:t>
            </w:r>
          </w:p>
        </w:tc>
      </w:tr>
      <w:tr w14:paraId="15DD5094">
        <w:trPr>
          <w:trHeight w:val="528" w:hRule="atLeast"/>
          <w:tblCellSpacing w:w="15" w:type="dxa"/>
        </w:trPr>
        <w:tc>
          <w:tcPr>
            <w:tcW w:w="111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AD1B024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98380C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300k</w:t>
            </w:r>
          </w:p>
        </w:tc>
        <w:tc>
          <w:tcPr>
            <w:tcW w:w="26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A7F7BC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警戒水位</w:t>
            </w:r>
          </w:p>
        </w:tc>
        <w:tc>
          <w:tcPr>
            <w:tcW w:w="42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2AB561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就业市场拐点确认。</w:t>
            </w:r>
          </w:p>
        </w:tc>
      </w:tr>
    </w:tbl>
    <w:p w14:paraId="0B0E9B68">
      <w:pPr>
        <w:rPr>
          <w:rFonts w:hint="eastAsia"/>
          <w:lang w:val="en-US" w:eastAsia="zh-CN"/>
        </w:rPr>
      </w:pPr>
    </w:p>
    <w:p w14:paraId="5BBE217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消费 (Consumption)</w:t>
      </w:r>
      <w:r>
        <w:rPr>
          <w:rFonts w:hint="eastAsia"/>
          <w:lang w:val="en-US" w:eastAsia="zh-CN"/>
        </w:rPr>
        <w:t xml:space="preserve"> </w:t>
      </w:r>
    </w:p>
    <w:p w14:paraId="2E3653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CB080A">
      <w:pPr>
        <w:numPr>
          <w:ilvl w:val="0"/>
          <w:numId w:val="0"/>
        </w:numPr>
        <w:ind w:leftChars="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零售销售 (RSAFS)、消费者信心 (UMCSENT)、个人消费支出 (PCE)</w:t>
      </w:r>
    </w:p>
    <w:p w14:paraId="168FAF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11"/>
        <w:tblW w:w="9459" w:type="dxa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1356"/>
        <w:gridCol w:w="2769"/>
        <w:gridCol w:w="4183"/>
      </w:tblGrid>
      <w:tr w14:paraId="487AFB25">
        <w:trPr>
          <w:trHeight w:val="506" w:hRule="atLeast"/>
          <w:tblHeader/>
          <w:tblCellSpacing w:w="15" w:type="dxa"/>
        </w:trPr>
        <w:tc>
          <w:tcPr>
            <w:tcW w:w="1106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CF312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129E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区间/阈值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B17E3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状态判定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40E50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隐含宏观含义</w:t>
            </w:r>
          </w:p>
        </w:tc>
      </w:tr>
      <w:tr w14:paraId="308274C4">
        <w:trPr>
          <w:trHeight w:val="858" w:hRule="atLeast"/>
          <w:tblHeader/>
          <w:tblCellSpacing w:w="15" w:type="dxa"/>
        </w:trPr>
        <w:tc>
          <w:tcPr>
            <w:tcW w:w="110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02DBF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零售销售</w:t>
            </w:r>
          </w:p>
          <w:p w14:paraId="31C5565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(恐怖数据)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D9649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5.0%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71AF9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异常强劲</w:t>
            </w:r>
          </w:p>
          <w:p w14:paraId="006A587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(No Landing)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21060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经济呈现“不着陆”特征，需警惕通胀二次反弹。</w:t>
            </w:r>
          </w:p>
        </w:tc>
      </w:tr>
      <w:tr w14:paraId="60B895F6">
        <w:trPr>
          <w:trHeight w:val="488" w:hRule="atLeast"/>
          <w:tblCellSpacing w:w="15" w:type="dxa"/>
        </w:trPr>
        <w:tc>
          <w:tcPr>
            <w:tcW w:w="1106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3D3560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C57C1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2.0% - 5.0%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C48A4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温和扩张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713B4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健康的增长模式，既维持运转又未过热。</w:t>
            </w:r>
          </w:p>
        </w:tc>
      </w:tr>
      <w:tr w14:paraId="79BC51D3">
        <w:trPr>
          <w:trHeight w:val="858" w:hRule="atLeast"/>
          <w:tblCellSpacing w:w="15" w:type="dxa"/>
        </w:trPr>
        <w:tc>
          <w:tcPr>
            <w:tcW w:w="1106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8EA9D2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03F3E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0% - 2.0%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DF4D2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增长疲态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688DF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剔除通胀后实际消费可能为负，消费降级迹象明显。</w:t>
            </w:r>
          </w:p>
        </w:tc>
      </w:tr>
      <w:tr w14:paraId="477F1A30">
        <w:trPr>
          <w:trHeight w:val="858" w:hRule="atLeast"/>
          <w:tblCellSpacing w:w="15" w:type="dxa"/>
        </w:trPr>
        <w:tc>
          <w:tcPr>
            <w:tcW w:w="1106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1D61A5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169243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0%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C1DD3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同比萎缩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68FDE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衰退强信号。高利率抑制作用显现，利空企业盈利 (EPS)。</w:t>
            </w:r>
          </w:p>
        </w:tc>
      </w:tr>
      <w:tr w14:paraId="378380B2">
        <w:trPr>
          <w:trHeight w:val="1227" w:hRule="atLeast"/>
          <w:tblCellSpacing w:w="15" w:type="dxa"/>
        </w:trPr>
        <w:tc>
          <w:tcPr>
            <w:tcW w:w="11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CB347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消费者信心</w:t>
            </w:r>
          </w:p>
          <w:p w14:paraId="70B5A48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(先行指标)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C421A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80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90BEA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乐观区间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CA6E0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居民对未来收入看好，倾向于增加可选消费。</w:t>
            </w:r>
          </w:p>
        </w:tc>
      </w:tr>
      <w:tr w14:paraId="4F8374BF">
        <w:trPr>
          <w:trHeight w:val="911" w:hRule="atLeast"/>
          <w:tblCellSpacing w:w="15" w:type="dxa"/>
        </w:trPr>
        <w:tc>
          <w:tcPr>
            <w:tcW w:w="11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61A9E2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CCD09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60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1F097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悲观区间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EBDD4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极低的情绪往往预示着未来 3-6 个月支出将大幅缩减。</w:t>
            </w:r>
          </w:p>
        </w:tc>
      </w:tr>
      <w:tr w14:paraId="212FE1A6">
        <w:trPr>
          <w:trHeight w:val="1245" w:hRule="atLeast"/>
          <w:tblCellSpacing w:w="15" w:type="dxa"/>
        </w:trPr>
        <w:tc>
          <w:tcPr>
            <w:tcW w:w="11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24D0C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个人消费支出</w:t>
            </w:r>
          </w:p>
          <w:p w14:paraId="660861E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(PCE)</w:t>
            </w:r>
          </w:p>
        </w:tc>
        <w:tc>
          <w:tcPr>
            <w:tcW w:w="13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CFCBB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3.0%</w:t>
            </w:r>
          </w:p>
        </w:tc>
        <w:tc>
          <w:tcPr>
            <w:tcW w:w="27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6253C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底座稳固</w:t>
            </w:r>
          </w:p>
        </w:tc>
        <w:tc>
          <w:tcPr>
            <w:tcW w:w="4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C9CDB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相比零售销售，PCE 覆盖服务与医疗。若维持在 3% 以上，说明整体内需依然强劲。</w:t>
            </w:r>
          </w:p>
        </w:tc>
      </w:tr>
    </w:tbl>
    <w:p w14:paraId="54A08E41">
      <w:pPr>
        <w:numPr>
          <w:ilvl w:val="0"/>
          <w:numId w:val="0"/>
        </w:numPr>
        <w:ind w:left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024554DF">
      <w:pPr>
        <w:numPr>
          <w:ilvl w:val="0"/>
          <w:numId w:val="1"/>
        </w:numPr>
        <w:ind w:left="0" w:leftChars="0" w:firstLine="0" w:firstLine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增长 (Growth)</w:t>
      </w:r>
    </w:p>
    <w:p w14:paraId="7FA35A21">
      <w:pPr>
        <w:numPr>
          <w:ilvl w:val="0"/>
          <w:numId w:val="0"/>
        </w:numPr>
        <w:ind w:left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23447CB6">
      <w:pP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实际 GDP (GDPC1)、工业产出 (INDPRO)、耐用品订单 (DGORDER)</w:t>
      </w:r>
    </w:p>
    <w:p w14:paraId="207556B4">
      <w:pPr>
        <w:rPr>
          <w:rFonts w:hint="eastAsia"/>
          <w:lang w:val="en-US" w:eastAsia="zh-CN"/>
        </w:rPr>
      </w:pPr>
    </w:p>
    <w:tbl>
      <w:tblPr>
        <w:tblStyle w:val="11"/>
        <w:tblW w:w="9398" w:type="dxa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1327"/>
        <w:gridCol w:w="2711"/>
        <w:gridCol w:w="4234"/>
      </w:tblGrid>
      <w:tr w14:paraId="03837623">
        <w:trPr>
          <w:trHeight w:val="562" w:hRule="atLeast"/>
          <w:tblHeader/>
          <w:tblCellSpacing w:w="15" w:type="dxa"/>
        </w:trPr>
        <w:tc>
          <w:tcPr>
            <w:tcW w:w="10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0FDBF5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B5C69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区间/阈值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2D1AB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状态判定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CA818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隐含宏观含义</w:t>
            </w:r>
          </w:p>
        </w:tc>
      </w:tr>
      <w:tr w14:paraId="4B73817C">
        <w:trPr>
          <w:trHeight w:val="723" w:hRule="atLeast"/>
          <w:tblCellSpacing w:w="15" w:type="dxa"/>
        </w:trPr>
        <w:tc>
          <w:tcPr>
            <w:tcW w:w="1081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CD432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 GDP</w:t>
            </w:r>
          </w:p>
          <w:p w14:paraId="56CF9F3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(最终成绩单)</w:t>
            </w: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F6BCF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2.5%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FDCE1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高于潜在增速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6A1A3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“美国例外论”验证。经济动能强劲，衰退叙事被证伪。</w:t>
            </w:r>
          </w:p>
        </w:tc>
      </w:tr>
      <w:tr w14:paraId="188ADC1A">
        <w:trPr>
          <w:trHeight w:val="615" w:hRule="atLeast"/>
          <w:tblCellSpacing w:w="15" w:type="dxa"/>
        </w:trPr>
        <w:tc>
          <w:tcPr>
            <w:tcW w:w="1081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CE5326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CA697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1.0% - 2.5%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5AA90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长期趋势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C1145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处于典型的周期中段稳态，经济运行平稳。</w:t>
            </w:r>
          </w:p>
        </w:tc>
      </w:tr>
      <w:tr w14:paraId="5EAB119D">
        <w:trPr>
          <w:trHeight w:val="723" w:hRule="atLeast"/>
          <w:tblCellSpacing w:w="15" w:type="dxa"/>
        </w:trPr>
        <w:tc>
          <w:tcPr>
            <w:tcW w:w="1081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DBED2E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EB474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0% - 1.0%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2C8B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失速边缘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08CC3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脆弱状态，任何外部冲击（如油价）都可能将其推入衰退。</w:t>
            </w:r>
          </w:p>
        </w:tc>
      </w:tr>
      <w:tr w14:paraId="2013ED81">
        <w:trPr>
          <w:trHeight w:val="516" w:hRule="atLeast"/>
          <w:tblCellSpacing w:w="15" w:type="dxa"/>
        </w:trPr>
        <w:tc>
          <w:tcPr>
            <w:tcW w:w="1081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34E4DC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4E179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0%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86800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技术性衰退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A57C3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经济确认进入收缩周期。</w:t>
            </w:r>
          </w:p>
        </w:tc>
      </w:tr>
      <w:tr w14:paraId="25C50AE8">
        <w:trPr>
          <w:trHeight w:val="733" w:hRule="atLeast"/>
          <w:tblCellSpacing w:w="15" w:type="dxa"/>
        </w:trPr>
        <w:tc>
          <w:tcPr>
            <w:tcW w:w="1081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506BF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工业产出</w:t>
            </w:r>
          </w:p>
          <w:p w14:paraId="46F2347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(周期敏感)</w:t>
            </w: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9D050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0%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F140F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去库存/收缩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6DDA97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制造业受全球需求疲软及强势美元压制。通常早于服务业进入衰退。</w:t>
            </w:r>
          </w:p>
        </w:tc>
      </w:tr>
      <w:tr w14:paraId="48A96E7B">
        <w:trPr>
          <w:trHeight w:val="733" w:hRule="atLeast"/>
          <w:tblCellSpacing w:w="15" w:type="dxa"/>
        </w:trPr>
        <w:tc>
          <w:tcPr>
            <w:tcW w:w="1081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9344BB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F2E80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0%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744B9A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扩张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AC73F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实体经济基本盘稳固，生产端未受高息显著打击。</w:t>
            </w:r>
          </w:p>
        </w:tc>
      </w:tr>
      <w:tr w14:paraId="1DCEB427">
        <w:trPr>
          <w:trHeight w:val="733" w:hRule="atLeast"/>
          <w:tblCellSpacing w:w="15" w:type="dxa"/>
        </w:trPr>
        <w:tc>
          <w:tcPr>
            <w:tcW w:w="1081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D1E66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耐用品订单</w:t>
            </w:r>
          </w:p>
          <w:p w14:paraId="1307404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(投资信心)</w:t>
            </w: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CA466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同比正增长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A11E6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信心充足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EC042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企业对长期前景有信心，敢于进行资本开支 (Capex)。</w:t>
            </w:r>
          </w:p>
        </w:tc>
      </w:tr>
      <w:tr w14:paraId="19348C91">
        <w:trPr>
          <w:trHeight w:val="769" w:hRule="atLeast"/>
          <w:tblCellSpacing w:w="15" w:type="dxa"/>
        </w:trPr>
        <w:tc>
          <w:tcPr>
            <w:tcW w:w="1081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D28699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2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83AC3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同比负增长</w:t>
            </w:r>
          </w:p>
        </w:tc>
        <w:tc>
          <w:tcPr>
            <w:tcW w:w="26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B62CC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收缩防守</w:t>
            </w:r>
          </w:p>
        </w:tc>
        <w:tc>
          <w:tcPr>
            <w:tcW w:w="41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04709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企业收缩长期投资，看空未来 1-3 年需求。</w:t>
            </w:r>
          </w:p>
        </w:tc>
      </w:tr>
    </w:tbl>
    <w:p w14:paraId="554F8682">
      <w:pPr>
        <w:numPr>
          <w:ilvl w:val="0"/>
          <w:numId w:val="0"/>
        </w:numPr>
        <w:ind w:left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D95A18A">
      <w:pPr>
        <w:numPr>
          <w:ilvl w:val="0"/>
          <w:numId w:val="1"/>
        </w:numPr>
        <w:ind w:left="0" w:leftChars="0" w:firstLine="0" w:firstLine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通胀 (Inflation) </w:t>
      </w:r>
    </w:p>
    <w:p w14:paraId="3C3119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00B590">
      <w:pP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CPI (CPIAUCSL)、核心 PCE (PCEPILFE)、PPI (PPIFIS)</w:t>
      </w:r>
    </w:p>
    <w:p w14:paraId="082E1728">
      <w:pP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1"/>
        <w:tblW w:w="9458" w:type="dxa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3"/>
        <w:gridCol w:w="1347"/>
        <w:gridCol w:w="2753"/>
        <w:gridCol w:w="4215"/>
      </w:tblGrid>
      <w:tr w14:paraId="46A65143">
        <w:trPr>
          <w:trHeight w:val="579" w:hRule="atLeast"/>
          <w:tblHeader/>
          <w:tblCellSpacing w:w="15" w:type="dxa"/>
        </w:trPr>
        <w:tc>
          <w:tcPr>
            <w:tcW w:w="10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CE5C5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</w:t>
            </w: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E13C3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区间/阈值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FC9AF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状态判定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581CA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隐含宏观含义</w:t>
            </w:r>
          </w:p>
        </w:tc>
      </w:tr>
      <w:tr w14:paraId="0CF4DF6D">
        <w:trPr>
          <w:trHeight w:val="886" w:hRule="atLeast"/>
          <w:tblCellSpacing w:w="15" w:type="dxa"/>
        </w:trPr>
        <w:tc>
          <w:tcPr>
            <w:tcW w:w="109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01B5D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CPI 通胀</w:t>
            </w:r>
          </w:p>
          <w:p w14:paraId="0E70AC5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(消费者感知)</w:t>
            </w: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DCFC4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3.5%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ED225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高位运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69AAD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通胀粘性顽固，购买力缩水。</w:t>
            </w:r>
          </w:p>
          <w:p w14:paraId="77955ED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美联储无法降息，资产估值受压。</w:t>
            </w:r>
          </w:p>
        </w:tc>
      </w:tr>
      <w:tr w14:paraId="02DB3195">
        <w:trPr>
          <w:trHeight w:val="886" w:hRule="atLeast"/>
          <w:tblCellSpacing w:w="15" w:type="dxa"/>
        </w:trPr>
        <w:tc>
          <w:tcPr>
            <w:tcW w:w="1098" w:type="dxa"/>
            <w:vMerge w:val="continue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202B34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A3B2C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2.5% - 3.5%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2FE53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去通胀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8AAF4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处于回落的“最后一公里”，回落速度放缓，市场对政策路径博弈加剧。</w:t>
            </w:r>
          </w:p>
        </w:tc>
      </w:tr>
      <w:tr w14:paraId="497E39EE">
        <w:trPr>
          <w:trHeight w:val="886" w:hRule="atLeast"/>
          <w:tblCellSpacing w:w="15" w:type="dxa"/>
        </w:trPr>
        <w:tc>
          <w:tcPr>
            <w:tcW w:w="109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B44279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ABA1A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 2.5%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9875C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合意区间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1F42A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风险解除。政策重心由“抗通胀”转向“保增长”。</w:t>
            </w:r>
          </w:p>
        </w:tc>
      </w:tr>
      <w:tr w14:paraId="25460926">
        <w:trPr>
          <w:trHeight w:val="886" w:hRule="atLeast"/>
          <w:tblCellSpacing w:w="15" w:type="dxa"/>
        </w:trPr>
        <w:tc>
          <w:tcPr>
            <w:tcW w:w="109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2ABED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 PCE</w:t>
            </w:r>
          </w:p>
          <w:p w14:paraId="2DB950E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(联储锚点)</w:t>
            </w: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5A690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3.0%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D98FB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服务业压力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32C2E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距离 2% 目标差距 &gt;1%，表明服务业价格坚挺，降息门槛较高。</w:t>
            </w:r>
          </w:p>
        </w:tc>
      </w:tr>
      <w:tr w14:paraId="27560E49">
        <w:trPr>
          <w:trHeight w:val="548" w:hRule="atLeast"/>
          <w:tblCellSpacing w:w="15" w:type="dxa"/>
        </w:trPr>
        <w:tc>
          <w:tcPr>
            <w:tcW w:w="109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383578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12753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 2.5%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E166F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表现良好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3F273D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为货币政策转向提供核心数据支持。</w:t>
            </w:r>
          </w:p>
        </w:tc>
      </w:tr>
      <w:tr w14:paraId="520C9B8C">
        <w:trPr>
          <w:trHeight w:val="548" w:hRule="atLeast"/>
          <w:tblCellSpacing w:w="15" w:type="dxa"/>
        </w:trPr>
        <w:tc>
          <w:tcPr>
            <w:tcW w:w="109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D4E70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PPI</w:t>
            </w:r>
          </w:p>
          <w:p w14:paraId="7CB6471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(生产者价格)</w:t>
            </w: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6F4C9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PPI &gt; CPI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7501CD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成本挤压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B9887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上游成本压力大，企业利润率面临压缩风险。</w:t>
            </w:r>
          </w:p>
        </w:tc>
      </w:tr>
      <w:tr w14:paraId="65484F66">
        <w:trPr>
          <w:trHeight w:val="918" w:hRule="atLeast"/>
          <w:tblCellSpacing w:w="15" w:type="dxa"/>
        </w:trPr>
        <w:tc>
          <w:tcPr>
            <w:tcW w:w="109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F09206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3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79577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PPI &lt; CPI</w:t>
            </w:r>
          </w:p>
        </w:tc>
        <w:tc>
          <w:tcPr>
            <w:tcW w:w="27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25E60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成本缓解</w:t>
            </w:r>
          </w:p>
        </w:tc>
        <w:tc>
          <w:tcPr>
            <w:tcW w:w="41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10DAC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上游压力减小，有利于未来 CPI 进一步回落（传导效应）。</w:t>
            </w:r>
          </w:p>
        </w:tc>
      </w:tr>
    </w:tbl>
    <w:p w14:paraId="08602EE6">
      <w:pPr>
        <w:rPr>
          <w:rFonts w:hint="eastAsia"/>
          <w:lang w:val="en-US" w:eastAsia="zh-CN"/>
        </w:rPr>
      </w:pPr>
    </w:p>
    <w:p w14:paraId="6A687805">
      <w:pPr>
        <w:rPr>
          <w:rFonts w:hint="eastAsia"/>
          <w:lang w:val="en-US" w:eastAsia="zh-CN"/>
        </w:rPr>
      </w:pPr>
    </w:p>
    <w:p w14:paraId="2D620BE9">
      <w:pPr>
        <w:rPr>
          <w:rFonts w:hint="eastAsia"/>
          <w:lang w:val="en-US" w:eastAsia="zh-CN"/>
        </w:rPr>
      </w:pPr>
    </w:p>
    <w:p w14:paraId="62987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综合参考图示</w:t>
      </w:r>
    </w:p>
    <w:p w14:paraId="4948BAA0">
      <w:pPr>
        <w:rPr>
          <w:rFonts w:hint="default"/>
          <w:lang w:val="en-US" w:eastAsia="zh-CN"/>
        </w:rPr>
      </w:pPr>
    </w:p>
    <w:p w14:paraId="76ED0F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5.3.1 周期定位图</w:t>
      </w:r>
    </w:p>
    <w:p w14:paraId="6F859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图表内置了基于 工业产出 (增长轴) 和 核心 PCE (通胀轴) 的 Z-Score 周期定位功能。在使用时，请参考系统生成的“宏观周期图”进行大类资产配置：</w:t>
      </w:r>
    </w:p>
    <w:p w14:paraId="7CE2D52F">
      <w:pPr>
        <w:rPr>
          <w:rFonts w:hint="eastAsia"/>
          <w:lang w:val="en-US" w:eastAsia="zh-CN"/>
        </w:rPr>
      </w:pPr>
    </w:p>
    <w:tbl>
      <w:tblPr>
        <w:tblStyle w:val="12"/>
        <w:tblW w:w="9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2424"/>
        <w:gridCol w:w="2140"/>
        <w:gridCol w:w="2879"/>
      </w:tblGrid>
      <w:tr w14:paraId="24E9CEBC">
        <w:trPr>
          <w:trHeight w:val="623" w:hRule="atLeast"/>
        </w:trPr>
        <w:tc>
          <w:tcPr>
            <w:tcW w:w="1854" w:type="dxa"/>
            <w:vAlign w:val="center"/>
          </w:tcPr>
          <w:p w14:paraId="3615BA13">
            <w:p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周期</w:t>
            </w:r>
          </w:p>
        </w:tc>
        <w:tc>
          <w:tcPr>
            <w:tcW w:w="2424" w:type="dxa"/>
            <w:vAlign w:val="center"/>
          </w:tcPr>
          <w:p w14:paraId="1848C171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特征</w:t>
            </w:r>
          </w:p>
        </w:tc>
        <w:tc>
          <w:tcPr>
            <w:tcW w:w="2140" w:type="dxa"/>
            <w:vAlign w:val="center"/>
          </w:tcPr>
          <w:p w14:paraId="26614B95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判定</w:t>
            </w:r>
          </w:p>
        </w:tc>
        <w:tc>
          <w:tcPr>
            <w:tcW w:w="2879" w:type="dxa"/>
            <w:vAlign w:val="center"/>
          </w:tcPr>
          <w:p w14:paraId="431995EE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策略</w:t>
            </w:r>
          </w:p>
        </w:tc>
      </w:tr>
      <w:tr w14:paraId="5214413A">
        <w:trPr>
          <w:trHeight w:val="1044" w:hRule="atLeast"/>
        </w:trPr>
        <w:tc>
          <w:tcPr>
            <w:tcW w:w="1854" w:type="dxa"/>
            <w:vAlign w:val="top"/>
          </w:tcPr>
          <w:p w14:paraId="1F9CDE1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过热期 (Overheating)：</w:t>
            </w:r>
          </w:p>
          <w:p w14:paraId="7A72E7BC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24" w:type="dxa"/>
            <w:vAlign w:val="center"/>
          </w:tcPr>
          <w:p w14:paraId="2B756586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增长强 (Z&gt;0) + 通胀高 (Z&gt;0)</w:t>
            </w:r>
          </w:p>
        </w:tc>
        <w:tc>
          <w:tcPr>
            <w:tcW w:w="2140" w:type="dxa"/>
            <w:vAlign w:val="center"/>
          </w:tcPr>
          <w:p w14:paraId="2C355ADB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非农 &gt; 200k 且 CPI &gt; 3%</w:t>
            </w:r>
          </w:p>
        </w:tc>
        <w:tc>
          <w:tcPr>
            <w:tcW w:w="2879" w:type="dxa"/>
            <w:vAlign w:val="center"/>
          </w:tcPr>
          <w:p w14:paraId="199FE4E7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现金为王，回避久期资产（长债）</w:t>
            </w:r>
          </w:p>
        </w:tc>
      </w:tr>
      <w:tr w14:paraId="0BEAE590">
        <w:trPr>
          <w:trHeight w:val="1044" w:hRule="atLeast"/>
        </w:trPr>
        <w:tc>
          <w:tcPr>
            <w:tcW w:w="1854" w:type="dxa"/>
            <w:vAlign w:val="top"/>
          </w:tcPr>
          <w:p w14:paraId="5A8229B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滞胀期 (Stagflation)：</w:t>
            </w:r>
          </w:p>
          <w:p w14:paraId="6E68FFF4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24" w:type="dxa"/>
            <w:vAlign w:val="center"/>
          </w:tcPr>
          <w:p w14:paraId="532E353B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增长弱 (Z&lt;0) + 通胀高 (Z&gt;0)</w:t>
            </w:r>
          </w:p>
        </w:tc>
        <w:tc>
          <w:tcPr>
            <w:tcW w:w="2140" w:type="dxa"/>
            <w:vAlign w:val="center"/>
          </w:tcPr>
          <w:p w14:paraId="245B0C3F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零售 &lt; 2% 但 CPI &gt; 3.5%</w:t>
            </w:r>
          </w:p>
        </w:tc>
        <w:tc>
          <w:tcPr>
            <w:tcW w:w="2879" w:type="dxa"/>
            <w:vAlign w:val="center"/>
          </w:tcPr>
          <w:p w14:paraId="355D7FE8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配置抗通胀资产（黄金、能源），回避股票</w:t>
            </w:r>
          </w:p>
        </w:tc>
      </w:tr>
      <w:tr w14:paraId="6356D003">
        <w:trPr>
          <w:trHeight w:val="1044" w:hRule="atLeast"/>
        </w:trPr>
        <w:tc>
          <w:tcPr>
            <w:tcW w:w="1854" w:type="dxa"/>
            <w:vAlign w:val="top"/>
          </w:tcPr>
          <w:p w14:paraId="417B5D0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衰退期 (Recession)：</w:t>
            </w:r>
          </w:p>
          <w:p w14:paraId="671B219E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24" w:type="dxa"/>
            <w:vAlign w:val="center"/>
          </w:tcPr>
          <w:p w14:paraId="6B882D7E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增长弱 (Z&lt;0) + 通胀低 (Z&lt;0)</w:t>
            </w:r>
          </w:p>
        </w:tc>
        <w:tc>
          <w:tcPr>
            <w:tcW w:w="2140" w:type="dxa"/>
            <w:vAlign w:val="center"/>
          </w:tcPr>
          <w:p w14:paraId="7AB22036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非农 &lt; 50k 或 失业率 &gt; 4.5%</w:t>
            </w:r>
          </w:p>
        </w:tc>
        <w:tc>
          <w:tcPr>
            <w:tcW w:w="2879" w:type="dxa"/>
            <w:vAlign w:val="center"/>
          </w:tcPr>
          <w:p w14:paraId="6193C22E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全面做多美债。在衰退末期开始配置成长股</w:t>
            </w:r>
          </w:p>
        </w:tc>
      </w:tr>
      <w:tr w14:paraId="1C5906E5">
        <w:trPr>
          <w:trHeight w:val="724" w:hRule="atLeast"/>
        </w:trPr>
        <w:tc>
          <w:tcPr>
            <w:tcW w:w="1854" w:type="dxa"/>
            <w:vAlign w:val="top"/>
          </w:tcPr>
          <w:p w14:paraId="39C5451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复苏期 (Recovery)：</w:t>
            </w:r>
          </w:p>
          <w:p w14:paraId="5AC2E63D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24" w:type="dxa"/>
            <w:vAlign w:val="center"/>
          </w:tcPr>
          <w:p w14:paraId="1DC44F5D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增长强 (Z&gt;0) + 通胀低 (Z&lt;0)</w:t>
            </w:r>
          </w:p>
        </w:tc>
        <w:tc>
          <w:tcPr>
            <w:tcW w:w="2140" w:type="dxa"/>
            <w:vAlign w:val="center"/>
          </w:tcPr>
          <w:p w14:paraId="032C32D9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GDP &gt; 2% 且 CPI &lt; 2.5%</w:t>
            </w:r>
          </w:p>
        </w:tc>
        <w:tc>
          <w:tcPr>
            <w:tcW w:w="2879" w:type="dxa"/>
            <w:vAlign w:val="center"/>
          </w:tcPr>
          <w:p w14:paraId="3CED421F">
            <w:p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全面做多股票（尤其是科技/成长板块）</w:t>
            </w:r>
          </w:p>
        </w:tc>
      </w:tr>
    </w:tbl>
    <w:p w14:paraId="04978023">
      <w:pPr>
        <w:rPr>
          <w:rFonts w:hint="eastAsia"/>
          <w:lang w:val="en-US" w:eastAsia="zh-CN"/>
        </w:rPr>
      </w:pPr>
    </w:p>
    <w:p w14:paraId="60CFEF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5.3.2 </w:t>
      </w:r>
      <w:r>
        <w:rPr>
          <w:rFonts w:hint="default"/>
          <w:lang w:val="en-US" w:eastAsia="zh-CN"/>
        </w:rPr>
        <w:t>跨资产强弱热力图</w:t>
      </w:r>
    </w:p>
    <w:p w14:paraId="0FB28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本图展示了PPI, 核心 PCE, CPI, 耐用品订单, 工业产出, 实际GDP, 消费者信心, 个人消费支出, 零售销售, 初请失业金, 失业率, 非农就业人数等 12 个核心指标在选定时间段内的相对强弱动量。</w:t>
      </w:r>
    </w:p>
    <w:p w14:paraId="60F50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极性与颜色解读： 使用了动态标准变化计算，展示各指标在选定时间段内的相对强弱。</w:t>
      </w:r>
    </w:p>
    <w:p w14:paraId="33ACE6A8">
      <w:pPr>
        <w:rPr>
          <w:rFonts w:hint="default"/>
          <w:lang w:val="en-US" w:eastAsia="zh-CN"/>
        </w:rPr>
      </w:pPr>
    </w:p>
    <w:p w14:paraId="52ED4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红色 (暖色系) = 经济扩张/强劲</w:t>
      </w:r>
    </w:p>
    <w:p w14:paraId="0FFEB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就业：新增人数多，失业率低。</w:t>
      </w:r>
    </w:p>
    <w:p w14:paraId="558AB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消费/增长：需求旺盛，订单增加。</w:t>
      </w:r>
    </w:p>
    <w:p w14:paraId="5000F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通胀：物价上涨（注：虽然高通胀不一定是好事，但代表经济活动热度高）。</w:t>
      </w:r>
    </w:p>
    <w:p w14:paraId="592C1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蓝色 (冷色系) = 经济收缩/疲软</w:t>
      </w:r>
    </w:p>
    <w:p w14:paraId="58086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就业：裁员增加，失业率上升（已对失业率做了反向处理，数值升高会变蓝）。</w:t>
      </w:r>
    </w:p>
    <w:p w14:paraId="4AE3D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消费/增长：需求萎缩，经济降温。</w:t>
      </w:r>
    </w:p>
    <w:p w14:paraId="78A83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通胀：通缩或低通胀。</w:t>
      </w:r>
    </w:p>
    <w:p w14:paraId="55A4E314">
      <w:pPr>
        <w:rPr>
          <w:rFonts w:hint="default"/>
          <w:lang w:val="en-US" w:eastAsia="zh-CN"/>
        </w:rPr>
      </w:pPr>
    </w:p>
    <w:p w14:paraId="53B4C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读图技巧：</w:t>
      </w:r>
    </w:p>
    <w:p w14:paraId="55ACC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纵向观察（时间切片）：若最近一列（最右侧）呈现“全蓝”，说明经济正在经历全面降温，衰退风险高。</w:t>
      </w:r>
    </w:p>
    <w:p w14:paraId="76822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横向观察（趋势持续性）：若某一行（如CPI）从深红逐渐变为浅蓝，说明该指标的拐点已经确立。</w:t>
      </w:r>
    </w:p>
    <w:p w14:paraId="27C20A71">
      <w:pPr>
        <w:rPr>
          <w:rFonts w:hint="default"/>
          <w:lang w:val="en-US" w:eastAsia="zh-CN"/>
        </w:rPr>
      </w:pPr>
    </w:p>
    <w:p w14:paraId="5D724F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5.3.3</w:t>
      </w:r>
      <w:r>
        <w:rPr>
          <w:rFonts w:hint="default"/>
          <w:lang w:val="en-US" w:eastAsia="zh-CN"/>
        </w:rPr>
        <w:t xml:space="preserve"> 经济状态雷达</w:t>
      </w:r>
    </w:p>
    <w:p w14:paraId="3FC99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本图展示了 增长(工业), 消费(零售), 就业(非农), 信心(密歇根), 通胀(CPI) 五大核心维度的状态对比。</w:t>
      </w:r>
    </w:p>
    <w:p w14:paraId="5F9F9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图表解读：</w:t>
      </w:r>
    </w:p>
    <w:p w14:paraId="5CEF0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 (0-100)：代表历史百分位</w:t>
      </w:r>
    </w:p>
    <w:p w14:paraId="285F5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0：表示处于历史最低点 (0=历史最冷，极度衰退/冰点)。</w:t>
      </w:r>
    </w:p>
    <w:p w14:paraId="10E81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50：表示处于历史中位数 (正常水平)。</w:t>
      </w:r>
    </w:p>
    <w:p w14:paraId="0B44C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100：表示当前数据处于所选历史区间内的最高点 (100=历史最热，极度过热/强劲)。</w:t>
      </w:r>
    </w:p>
    <w:p w14:paraId="36A98BDD">
      <w:pPr>
        <w:rPr>
          <w:rFonts w:hint="default"/>
          <w:lang w:val="en-US" w:eastAsia="zh-CN"/>
        </w:rPr>
      </w:pPr>
    </w:p>
    <w:p w14:paraId="0D385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对比逻辑：当前 vs 1年前</w:t>
      </w:r>
    </w:p>
    <w:p w14:paraId="03CBF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红色覆盖区域 &gt; 灰色区域：说明当前经济整体比一年前更热/更强。</w:t>
      </w:r>
    </w:p>
    <w:p w14:paraId="28663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红色覆盖区域 &lt; 灰色区域：说明当前经济整体比一年前更冷/更弱。</w:t>
      </w:r>
    </w:p>
    <w:p w14:paraId="0433A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重心偏移：观察红色区域向哪个方向突出。例如，若向“通胀”突出但“增长”凹陷，则是典型的“滞胀”形态。</w:t>
      </w:r>
    </w:p>
    <w:p w14:paraId="62408A73">
      <w:pPr>
        <w:rPr>
          <w:rFonts w:hint="default"/>
          <w:lang w:val="en-US" w:eastAsia="zh-CN"/>
        </w:rPr>
      </w:pPr>
    </w:p>
    <w:p w14:paraId="4775A997">
      <w:pPr>
        <w:rPr>
          <w:rFonts w:hint="default"/>
          <w:lang w:val="en-US" w:eastAsia="zh-CN"/>
        </w:rPr>
      </w:pPr>
    </w:p>
    <w:p w14:paraId="7C87E3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sz w:val="21"/>
          <w:szCs w:val="21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11" w:name="_Toc1534159956"/>
      <w:bookmarkStart w:id="12" w:name="_6. 标准作业程序 (SOP) - 每日监测流程"/>
    </w:p>
    <w:p w14:paraId="1933EEBA">
      <w:pPr>
        <w:pStyle w:val="4"/>
        <w:bidi w:val="0"/>
        <w:outlineLvl w:val="0"/>
        <w:rPr>
          <w:rFonts w:hint="eastAsia"/>
        </w:rPr>
      </w:pPr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HYPERLINK \l "_6. 标准作业程序 (SOP) - 每日监测流程"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rPr>
          <w:rFonts w:hint="eastAsia"/>
          <w:color w:val="auto"/>
          <w:lang w:val="en-US" w:eastAsia="zh-CN"/>
        </w:rPr>
        <w:t>6</w:t>
      </w:r>
      <w:r>
        <w:rPr>
          <w:rStyle w:val="15"/>
          <w:rFonts w:hint="eastAsia"/>
          <w:color w:val="auto"/>
        </w:rPr>
        <w:t>. 每日监测流程</w:t>
      </w:r>
      <w:r>
        <w:rPr>
          <w:rFonts w:hint="eastAsia"/>
          <w:color w:val="auto"/>
          <w:lang w:val="en-US" w:eastAsia="zh-CN"/>
        </w:rPr>
        <w:fldChar w:fldCharType="end"/>
      </w:r>
      <w:bookmarkEnd w:id="11"/>
    </w:p>
    <w:bookmarkEnd w:id="12"/>
    <w:p w14:paraId="58B7533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步骤 1：全景扫描 (Dashboard Check)</w:t>
      </w:r>
    </w:p>
    <w:p w14:paraId="2E3E9C81">
      <w:pPr>
        <w:bidi w:val="0"/>
        <w:spacing w:line="240" w:lineRule="auto"/>
        <w:rPr>
          <w:rFonts w:hint="eastAsia"/>
          <w:sz w:val="21"/>
          <w:szCs w:val="21"/>
        </w:rPr>
      </w:pPr>
    </w:p>
    <w:p w14:paraId="314F3FD9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打开 Macro Quant Dashboard 首页。</w:t>
      </w:r>
    </w:p>
    <w:p w14:paraId="4377E2EE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记录当前 Total Score。</w:t>
      </w:r>
    </w:p>
    <w:p w14:paraId="1DE5C4A9">
      <w:pPr>
        <w:bidi w:val="0"/>
        <w:spacing w:line="240" w:lineRule="auto"/>
        <w:rPr>
          <w:rFonts w:hint="eastAsia"/>
          <w:sz w:val="21"/>
          <w:szCs w:val="21"/>
        </w:rPr>
      </w:pPr>
    </w:p>
    <w:p w14:paraId="3D01BB28">
      <w:pPr>
        <w:bidi w:val="0"/>
        <w:spacing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Check Point：是否跌破 50 分水岭？周环比变化是否超过 ±</w:t>
      </w:r>
      <w:r>
        <w:rPr>
          <w:rFonts w:hint="default"/>
          <w:b/>
          <w:bCs/>
          <w:sz w:val="21"/>
          <w:szCs w:val="21"/>
          <w:lang w:val="en-US"/>
        </w:rPr>
        <w:t>5</w:t>
      </w:r>
      <w:r>
        <w:rPr>
          <w:rFonts w:hint="eastAsia"/>
          <w:b/>
          <w:bCs/>
          <w:sz w:val="21"/>
          <w:szCs w:val="21"/>
        </w:rPr>
        <w:t xml:space="preserve"> 分？</w:t>
      </w:r>
    </w:p>
    <w:p w14:paraId="78E42BD4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观察顶部 KPI 状态标签（如“TGA抽水”、“利差倒挂”），快速定位主要矛盾。</w:t>
      </w:r>
    </w:p>
    <w:p w14:paraId="7F6B0EA0">
      <w:pPr>
        <w:bidi w:val="0"/>
        <w:spacing w:line="240" w:lineRule="auto"/>
        <w:rPr>
          <w:rFonts w:hint="eastAsia"/>
          <w:sz w:val="21"/>
          <w:szCs w:val="21"/>
        </w:rPr>
      </w:pPr>
    </w:p>
    <w:p w14:paraId="4DED5F6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步骤 2：模块归因 </w:t>
      </w:r>
    </w:p>
    <w:p w14:paraId="04A2F1AB">
      <w:pPr>
        <w:bidi w:val="0"/>
        <w:spacing w:line="240" w:lineRule="auto"/>
        <w:rPr>
          <w:rFonts w:hint="eastAsia"/>
          <w:sz w:val="21"/>
          <w:szCs w:val="21"/>
        </w:rPr>
      </w:pPr>
    </w:p>
    <w:p w14:paraId="1A9E2E84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若总分下降，点击</w:t>
      </w:r>
      <w:r>
        <w:rPr>
          <w:rFonts w:hint="eastAsia"/>
          <w:sz w:val="21"/>
          <w:szCs w:val="21"/>
          <w:lang w:val="en-US" w:eastAsia="zh-CN"/>
        </w:rPr>
        <w:t>分数下降最显著</w:t>
      </w:r>
      <w:r>
        <w:rPr>
          <w:rFonts w:hint="eastAsia"/>
          <w:sz w:val="21"/>
          <w:szCs w:val="21"/>
        </w:rPr>
        <w:t>的模块 Tab。</w:t>
      </w:r>
    </w:p>
    <w:p w14:paraId="757A7238">
      <w:pPr>
        <w:bidi w:val="0"/>
        <w:spacing w:line="240" w:lineRule="auto"/>
        <w:rPr>
          <w:rFonts w:hint="eastAsia"/>
          <w:sz w:val="21"/>
          <w:szCs w:val="21"/>
        </w:rPr>
      </w:pPr>
    </w:p>
    <w:p w14:paraId="43BAB41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检查具体是哪个因子恶化：</w:t>
      </w:r>
    </w:p>
    <w:p w14:paraId="357B84C0">
      <w:pPr>
        <w:bidi w:val="0"/>
        <w:spacing w:line="240" w:lineRule="auto"/>
        <w:rPr>
          <w:rFonts w:hint="eastAsia"/>
          <w:sz w:val="21"/>
          <w:szCs w:val="21"/>
        </w:rPr>
      </w:pPr>
    </w:p>
    <w:p w14:paraId="2C67CE83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是</w:t>
      </w:r>
      <w:r>
        <w:rPr>
          <w:rFonts w:hint="eastAsia"/>
          <w:sz w:val="21"/>
          <w:szCs w:val="21"/>
          <w:lang w:val="en-US" w:eastAsia="zh-CN"/>
        </w:rPr>
        <w:t>流动性骤降</w:t>
      </w:r>
      <w:r>
        <w:rPr>
          <w:rFonts w:hint="eastAsia"/>
          <w:sz w:val="21"/>
          <w:szCs w:val="21"/>
        </w:rPr>
        <w:t>？</w:t>
      </w:r>
    </w:p>
    <w:p w14:paraId="17578F6F">
      <w:pPr>
        <w:bidi w:val="0"/>
        <w:spacing w:line="240" w:lineRule="auto"/>
        <w:rPr>
          <w:rFonts w:hint="eastAsia"/>
          <w:sz w:val="21"/>
          <w:szCs w:val="21"/>
        </w:rPr>
      </w:pPr>
    </w:p>
    <w:p w14:paraId="20AC518C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还是 </w:t>
      </w:r>
      <w:r>
        <w:rPr>
          <w:rFonts w:hint="eastAsia"/>
          <w:sz w:val="21"/>
          <w:szCs w:val="21"/>
          <w:lang w:val="en-US" w:eastAsia="zh-CN"/>
        </w:rPr>
        <w:t>美国长端利率</w:t>
      </w:r>
      <w:r>
        <w:rPr>
          <w:rFonts w:hint="eastAsia"/>
          <w:sz w:val="21"/>
          <w:szCs w:val="21"/>
        </w:rPr>
        <w:t>异常飙升？（需特别警惕）</w:t>
      </w:r>
    </w:p>
    <w:p w14:paraId="2FF8B3DB">
      <w:pPr>
        <w:bidi w:val="0"/>
        <w:spacing w:line="240" w:lineRule="auto"/>
        <w:rPr>
          <w:rFonts w:hint="eastAsia"/>
          <w:sz w:val="21"/>
          <w:szCs w:val="21"/>
        </w:rPr>
      </w:pPr>
    </w:p>
    <w:p w14:paraId="18D3AE02">
      <w:pPr>
        <w:bidi w:val="0"/>
        <w:spacing w:line="240" w:lineRule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记录异常因子的</w:t>
      </w:r>
      <w:r>
        <w:rPr>
          <w:rFonts w:hint="eastAsia"/>
          <w:b/>
          <w:bCs/>
          <w:sz w:val="21"/>
          <w:szCs w:val="21"/>
          <w:lang w:val="en-US" w:eastAsia="zh-CN"/>
        </w:rPr>
        <w:t>分数</w:t>
      </w:r>
      <w:r>
        <w:rPr>
          <w:rFonts w:hint="eastAsia"/>
          <w:b/>
          <w:bCs/>
          <w:sz w:val="21"/>
          <w:szCs w:val="21"/>
        </w:rPr>
        <w:t>读数</w:t>
      </w:r>
      <w:r>
        <w:rPr>
          <w:rFonts w:hint="eastAsia"/>
          <w:b/>
          <w:bCs/>
          <w:sz w:val="21"/>
          <w:szCs w:val="21"/>
          <w:lang w:eastAsia="zh-CN"/>
        </w:rPr>
        <w:t>，</w:t>
      </w:r>
      <w:r>
        <w:rPr>
          <w:rFonts w:hint="eastAsia"/>
          <w:b/>
          <w:bCs/>
          <w:sz w:val="21"/>
          <w:szCs w:val="21"/>
          <w:lang w:val="en-US" w:eastAsia="zh-CN"/>
        </w:rPr>
        <w:t>然后找到恶化因子根源</w:t>
      </w:r>
      <w:r>
        <w:rPr>
          <w:rFonts w:hint="eastAsia"/>
          <w:b/>
          <w:bCs/>
          <w:sz w:val="21"/>
          <w:szCs w:val="21"/>
        </w:rPr>
        <w:t>。</w:t>
      </w:r>
      <w:r>
        <w:rPr>
          <w:rFonts w:hint="eastAsia"/>
          <w:b/>
          <w:bCs/>
          <w:sz w:val="21"/>
          <w:szCs w:val="21"/>
          <w:lang w:val="en-US" w:eastAsia="zh-CN"/>
        </w:rPr>
        <w:t>详细某一因子数值和分数可以通过底部“查看原始数据”查看</w:t>
      </w:r>
    </w:p>
    <w:p w14:paraId="29E0D67F">
      <w:pPr>
        <w:bidi w:val="0"/>
        <w:spacing w:line="240" w:lineRule="auto"/>
        <w:rPr>
          <w:rFonts w:hint="default"/>
          <w:sz w:val="21"/>
          <w:szCs w:val="21"/>
          <w:lang w:val="en-US" w:eastAsia="zh-CN"/>
        </w:rPr>
      </w:pPr>
    </w:p>
    <w:p w14:paraId="378057F5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步骤 3：数据交叉验证 </w:t>
      </w:r>
    </w:p>
    <w:p w14:paraId="578CF379">
      <w:pPr>
        <w:bidi w:val="0"/>
        <w:spacing w:line="240" w:lineRule="auto"/>
        <w:rPr>
          <w:rFonts w:hint="eastAsia"/>
          <w:sz w:val="21"/>
          <w:szCs w:val="21"/>
        </w:rPr>
      </w:pPr>
    </w:p>
    <w:p w14:paraId="72B8A3A7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由于数据源可能存在延迟，若发现某数据暴涨/暴跌，需点击 "查看原始数据" 确认数据更新日期。</w:t>
      </w:r>
    </w:p>
    <w:p w14:paraId="4F6DB24D">
      <w:pPr>
        <w:bidi w:val="0"/>
        <w:spacing w:line="240" w:lineRule="auto"/>
        <w:rPr>
          <w:rFonts w:hint="eastAsia"/>
          <w:sz w:val="21"/>
          <w:szCs w:val="21"/>
        </w:rPr>
      </w:pPr>
    </w:p>
    <w:p w14:paraId="28CA7FEA">
      <w:pPr>
        <w:bidi w:val="0"/>
        <w:spacing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对于 </w:t>
      </w:r>
      <w:r>
        <w:rPr>
          <w:rFonts w:hint="eastAsia"/>
          <w:b/>
          <w:bCs/>
          <w:sz w:val="21"/>
          <w:szCs w:val="21"/>
          <w:lang w:val="en-US" w:eastAsia="zh-CN"/>
        </w:rPr>
        <w:t>某个</w:t>
      </w:r>
      <w:r>
        <w:rPr>
          <w:rFonts w:hint="eastAsia"/>
          <w:b/>
          <w:bCs/>
          <w:sz w:val="21"/>
          <w:szCs w:val="21"/>
        </w:rPr>
        <w:t>模块异常，建议配合</w:t>
      </w:r>
      <w:r>
        <w:rPr>
          <w:rFonts w:hint="default"/>
          <w:b/>
          <w:bCs/>
          <w:sz w:val="21"/>
          <w:szCs w:val="21"/>
          <w:lang w:val="en-US"/>
        </w:rPr>
        <w:t xml:space="preserve">Bloomberg </w:t>
      </w:r>
      <w:r>
        <w:rPr>
          <w:rFonts w:hint="eastAsia"/>
          <w:b/>
          <w:bCs/>
          <w:sz w:val="21"/>
          <w:szCs w:val="21"/>
        </w:rPr>
        <w:t>/Wind 终端确认新闻面。</w:t>
      </w:r>
    </w:p>
    <w:p w14:paraId="15F8D574">
      <w:pPr>
        <w:bidi w:val="0"/>
        <w:spacing w:line="240" w:lineRule="auto"/>
        <w:rPr>
          <w:rFonts w:hint="eastAsia"/>
          <w:sz w:val="21"/>
          <w:szCs w:val="21"/>
        </w:rPr>
      </w:pPr>
    </w:p>
    <w:p w14:paraId="117A2FA6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步骤 4：Reporting</w:t>
      </w:r>
    </w:p>
    <w:p w14:paraId="0EFEF18F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基于模型产出，输出标准话术：</w:t>
      </w:r>
    </w:p>
    <w:p w14:paraId="023D579D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“今日宏观得分为 [X] 分，较上周 [上升/下降]。</w:t>
      </w:r>
    </w:p>
    <w:p w14:paraId="6EB5BF68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主要驱动力来自 [A/B/C...] 模块。</w:t>
      </w:r>
    </w:p>
    <w:p w14:paraId="079EC124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值得注意的是 [具体因子，如</w:t>
      </w:r>
      <w:r>
        <w:rPr>
          <w:rFonts w:hint="eastAsia"/>
          <w:sz w:val="21"/>
          <w:szCs w:val="21"/>
          <w:lang w:val="en-US" w:eastAsia="zh-CN"/>
        </w:rPr>
        <w:t>长端利率</w:t>
      </w:r>
      <w:r>
        <w:rPr>
          <w:rFonts w:hint="eastAsia"/>
          <w:sz w:val="21"/>
          <w:szCs w:val="21"/>
        </w:rPr>
        <w:t>] 出现异常波动，模型提示</w:t>
      </w:r>
      <w:r>
        <w:rPr>
          <w:rFonts w:hint="eastAsia"/>
          <w:sz w:val="21"/>
          <w:szCs w:val="21"/>
          <w:lang w:val="en-US" w:eastAsia="zh-CN"/>
        </w:rPr>
        <w:t>国债期限结构</w:t>
      </w:r>
      <w:r>
        <w:rPr>
          <w:rFonts w:hint="eastAsia"/>
          <w:sz w:val="21"/>
          <w:szCs w:val="21"/>
        </w:rPr>
        <w:t>风险增加。</w:t>
      </w:r>
    </w:p>
    <w:p w14:paraId="685F0019">
      <w:pPr>
        <w:bidi w:val="0"/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建议 [增加/减少] 风险敞口，关注 [</w:t>
      </w:r>
      <w:r>
        <w:rPr>
          <w:rFonts w:hint="eastAsia"/>
          <w:sz w:val="21"/>
          <w:szCs w:val="21"/>
          <w:lang w:val="en-US" w:eastAsia="zh-CN"/>
        </w:rPr>
        <w:t>债券/风险资产</w:t>
      </w:r>
      <w:r>
        <w:rPr>
          <w:rFonts w:hint="eastAsia"/>
          <w:sz w:val="21"/>
          <w:szCs w:val="21"/>
        </w:rPr>
        <w:t>] 板块。</w:t>
      </w:r>
      <w:r>
        <w:rPr>
          <w:rFonts w:hint="eastAsia"/>
          <w:sz w:val="21"/>
          <w:szCs w:val="21"/>
          <w:lang w:eastAsia="zh-CN"/>
        </w:rPr>
        <w:t>“</w:t>
      </w:r>
    </w:p>
    <w:p w14:paraId="35FD4274">
      <w:pPr>
        <w:bidi w:val="0"/>
        <w:spacing w:line="240" w:lineRule="auto"/>
        <w:rPr>
          <w:rFonts w:hint="eastAsia"/>
          <w:sz w:val="21"/>
          <w:szCs w:val="21"/>
        </w:rPr>
      </w:pPr>
    </w:p>
    <w:p w14:paraId="2658E0D8">
      <w:pPr>
        <w:bidi w:val="0"/>
        <w:spacing w:line="240" w:lineRule="auto"/>
        <w:rPr>
          <w:rFonts w:hint="eastAsia"/>
          <w:sz w:val="21"/>
          <w:szCs w:val="21"/>
        </w:rPr>
      </w:pPr>
    </w:p>
    <w:p w14:paraId="74203F7A">
      <w:pPr>
        <w:bidi w:val="0"/>
        <w:spacing w:line="240" w:lineRule="auto"/>
        <w:rPr>
          <w:rFonts w:hint="eastAsia"/>
          <w:sz w:val="21"/>
          <w:szCs w:val="21"/>
        </w:rPr>
      </w:pPr>
    </w:p>
    <w:p w14:paraId="21B3B7B6">
      <w:pPr>
        <w:bidi w:val="0"/>
        <w:spacing w:line="240" w:lineRule="auto"/>
        <w:rPr>
          <w:rFonts w:hint="eastAsia"/>
          <w:sz w:val="21"/>
          <w:szCs w:val="21"/>
        </w:rPr>
      </w:pPr>
    </w:p>
    <w:p w14:paraId="5FE702D0">
      <w:pPr>
        <w:bidi w:val="0"/>
        <w:spacing w:line="240" w:lineRule="auto"/>
        <w:rPr>
          <w:rFonts w:hint="eastAsia"/>
          <w:sz w:val="21"/>
          <w:szCs w:val="21"/>
        </w:rPr>
      </w:pPr>
    </w:p>
    <w:p w14:paraId="2666D923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6.1 首页看板 (Dashboard) 使用手册</w:t>
      </w:r>
    </w:p>
    <w:p w14:paraId="54C6C8AC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Dashboard 首页分为六大核心功能区：</w:t>
      </w:r>
    </w:p>
    <w:p w14:paraId="4C5AA75E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2DF72D3">
      <w:pPr>
        <w:bidi w:val="0"/>
        <w:spacing w:line="240" w:lineRule="auto"/>
        <w:ind w:firstLine="210" w:firstLineChars="1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6.1.1 宏观综合得分与历史趋势</w:t>
      </w:r>
    </w:p>
    <w:p w14:paraId="01A7B3D8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宏观综合得分：将复杂的宏观环境降维为一个 0-100 的直观分数 。</w:t>
      </w:r>
    </w:p>
    <w:p w14:paraId="4307A9D1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颜色预警：仪表盘颜色会根据得分动态变化。绿色代表环境优良（风险偏好高/流动性充裕），黄色/橙色代表警告，红色（&lt;20分）代表宏观环境极度脆弱或处于崩溃边缘 。</w:t>
      </w:r>
    </w:p>
    <w:p w14:paraId="68596BC8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动量跟踪：分数下方显示“vs 上周”的绝对变化值及红绿箭头，帮助确认环境是在改善还是在恶化。</w:t>
      </w:r>
    </w:p>
    <w:p w14:paraId="2FEC200F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E979BFC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6.1.2 模块因子看板 (MOD A - MOD G)</w:t>
      </w:r>
    </w:p>
    <w:p w14:paraId="7E8FCA1E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该区域将综合得分拆解为 7 个独立的底层驱动模块 。每个卡片包含：</w:t>
      </w:r>
    </w:p>
    <w:p w14:paraId="43459C84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模块分数与权重：展示该模块的实时绝对得分（0-100）及其在总分中的占比（如 20%, 15%, 7.5%）。</w:t>
      </w:r>
    </w:p>
    <w:p w14:paraId="73469953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周度变化：追踪该模块相较上周的边际改善或恶化程度。</w:t>
      </w:r>
    </w:p>
    <w:p w14:paraId="736DA5B5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动态定性描述：卡片底部会根据当前数据自动生成一句话结论（如“TGA水位过高”、“SOFR 突破 IORB”、“外部汇率环境相对宽松”等），帮助用户快速定位主要矛盾 。点击任意卡片可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跳转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至该模块的详情页。</w:t>
      </w:r>
    </w:p>
    <w:p w14:paraId="22377C98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D06E6AA">
      <w:pPr>
        <w:bidi w:val="0"/>
        <w:spacing w:line="240" w:lineRule="auto"/>
        <w:ind w:firstLine="210" w:firstLineChars="1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6.1.3动量归因面板 (Top Score Lift / Drag)</w:t>
      </w:r>
    </w:p>
    <w:p w14:paraId="1438DCC3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本模块回答了一个核心问题：本周分数的变化究竟是谁引起的，是因为长期结构的改变，还是短期情绪的波动？</w:t>
      </w:r>
    </w:p>
    <w:p w14:paraId="2A1EB52F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9DE354C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Score Lift (改善总分) / Score Drag (拖累总分)：分别列出对本周总分产生最大正向拉动和最大负向拖累的前 3 个底层因子。</w:t>
      </w:r>
    </w:p>
    <w:p w14:paraId="4B4BF01A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变化归因三要素：</w:t>
      </w:r>
    </w:p>
    <w:p w14:paraId="794AE63F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Level 贡献（结构）：由资产绝对水平或绝对水位变化带来的分数改变。</w:t>
      </w:r>
    </w:p>
    <w:p w14:paraId="2A232583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Flow 贡献（短期）：由短期斜率、动量和流速变化带来的分数改变。</w:t>
      </w:r>
    </w:p>
    <w:p w14:paraId="37325449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Penalty 贡献（结构）：由触发非线性惩罚机制（如 TGA 抽水惩罚、利率急涨惩罚等）带来的额外扣分或分数修复 。</w:t>
      </w:r>
    </w:p>
    <w:p w14:paraId="1B295312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归因结论：系统会自动判定本周的总分变化是由“结构性变化主导”还是“短期波动主导”。</w:t>
      </w:r>
    </w:p>
    <w:p w14:paraId="6439A7C5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2F29B00">
      <w:pPr>
        <w:bidi w:val="0"/>
        <w:spacing w:line="240" w:lineRule="auto"/>
        <w:ind w:firstLine="210" w:firstLineChars="1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6.1.4 周期与趋势可视化</w:t>
      </w:r>
    </w:p>
    <w:p w14:paraId="0DB657C8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通过热力图直观展示宏观因子的时间序列演变与经济周期定位。</w:t>
      </w:r>
    </w:p>
    <w:p w14:paraId="77F386B9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3624713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模块状态热力图（周频）：以周度切片追踪各大模块的历史冷暖变化。红色块代表得分低（高风险/紧缩），绿色块代表得分高（低风险/宽松）。横向观察可确认单一模块趋势的持续性，纵向观察可判断是否存在多模块共振恶化。 Regime 看板（复苏 / 过热 / 滞胀 / 放缓）：利用工业产出（INDPRO，代表增长）和核心 PCE（代表通胀）的滚动 Z-Score 判定当前所处的经济象限 。左侧面板显示当前的增长动能 Z 值与通胀压力 Z 值，并提示最近一次发生象限切换的时间与原因。右侧通过时间轴热力图记录历史 Regime 的演变路径。</w:t>
      </w:r>
    </w:p>
    <w:p w14:paraId="525D0456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3B2A2A0">
      <w:pPr>
        <w:bidi w:val="0"/>
        <w:spacing w:line="240" w:lineRule="auto"/>
        <w:ind w:firstLine="210" w:firstLineChars="100"/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  <w:lang w:val="en-US" w:eastAsia="zh-CN"/>
        </w:rPr>
        <w:t>6.1.5 实时市场看板 (Real-Time Snapshot)</w:t>
      </w:r>
    </w:p>
    <w:p w14:paraId="7EDC7D33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该模块脱离了周频宏观数据的滞后性，接入 Yahoo Finance 高频数据，用于盘中/日频交叉验证。</w:t>
      </w:r>
    </w:p>
    <w:p w14:paraId="34D3D5B0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A8661CB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跨资产监控：涵盖债市先行动量（ZN/ZB 价格）、收益率曲线结构（30Y/5Y bp变化）、权益表现（IXIC/SPX）、信用利差（LQD/HYG）及美元汇率（DXY/USDJPY）。</w:t>
      </w:r>
    </w:p>
    <w:p w14:paraId="647E23CD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实时结构结论：系统内置逻辑，可根据盘面资产的相关性自动输出日内判定（例如：“债券先行+权益回落：更像增长预期下修触发的估值重估”、“信用维持稳定：暂不支持系统性信用冲击”等）。</w:t>
      </w:r>
    </w:p>
    <w:p w14:paraId="42284CDA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14ADFAF">
      <w:pPr>
        <w:bidi w:val="0"/>
        <w:spacing w:line="240" w:lineRule="auto"/>
        <w:ind w:firstLine="210" w:firstLineChars="1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6.1.6 智能风控与决策辅助</w:t>
      </w:r>
    </w:p>
    <w:p w14:paraId="29410E39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风险雷达 (Risk Radar)：这是模型最重要的主动防御系统 。</w:t>
      </w:r>
    </w:p>
    <w:p w14:paraId="16497A73">
      <w:pPr>
        <w:bidi w:val="0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当底层因子触发极端阈值时，雷达会弹出警告卡片（分为红色 Critical 与橙色/黄色警告）。例如 TGA 惩罚加剧、长端利率动量触发熔断、VIX 期限结构倒挂等 。操作建议：当雷达提示多项红色警告时，请将防守优先级置于追求 Beta 收益之上。</w:t>
      </w:r>
    </w:p>
    <w:p w14:paraId="556F6E40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AI 宏观分析：一键点击“生成 AI 宏观分析”按钮，系统将自动读取当前所有的底层数据、指标和得分，调用 AI 模型生成一份结构化的宏观深度研究报告，并支持一键下载 PDF 格式，方便用于早会汇报或投资纪要总结。</w:t>
      </w:r>
      <w:r>
        <w:rPr>
          <w:rFonts w:hint="eastAsia"/>
          <w:sz w:val="21"/>
          <w:szCs w:val="21"/>
        </w:rPr>
        <w:br w:type="page"/>
      </w:r>
    </w:p>
    <w:p w14:paraId="2C65A532">
      <w:pPr>
        <w:bidi w:val="0"/>
        <w:spacing w:line="240" w:lineRule="auto"/>
        <w:rPr>
          <w:rFonts w:hint="eastAsia"/>
        </w:rPr>
      </w:pPr>
      <w:r>
        <w:rPr>
          <w:rFonts w:hint="eastAsia"/>
          <w:sz w:val="21"/>
          <w:szCs w:val="21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E97E8">
      <w:pPr>
        <w:pStyle w:val="4"/>
        <w:bidi w:val="0"/>
        <w:outlineLvl w:val="0"/>
        <w:rPr>
          <w:rFonts w:hint="eastAsia"/>
          <w:color w:val="auto"/>
        </w:rPr>
      </w:pPr>
      <w:bookmarkStart w:id="13" w:name="_Toc1937714610"/>
      <w:bookmarkStart w:id="14" w:name="_7. 局限性与风控"/>
      <w:r>
        <w:rPr>
          <w:rFonts w:hint="eastAsia"/>
          <w:color w:val="auto"/>
          <w:lang w:val="en-US" w:eastAsia="zh-CN"/>
        </w:rPr>
        <w:fldChar w:fldCharType="begin"/>
      </w:r>
      <w:r>
        <w:rPr>
          <w:rFonts w:hint="eastAsia"/>
          <w:color w:val="auto"/>
          <w:lang w:val="en-US" w:eastAsia="zh-CN"/>
        </w:rPr>
        <w:instrText xml:space="preserve"> HYPERLINK \l "_7. 局限性与风控" </w:instrText>
      </w:r>
      <w:r>
        <w:rPr>
          <w:rFonts w:hint="eastAsia"/>
          <w:color w:val="auto"/>
          <w:lang w:val="en-US" w:eastAsia="zh-CN"/>
        </w:rPr>
        <w:fldChar w:fldCharType="separate"/>
      </w:r>
      <w:r>
        <w:rPr>
          <w:rFonts w:hint="eastAsia"/>
          <w:color w:val="auto"/>
          <w:lang w:val="en-US" w:eastAsia="zh-CN"/>
        </w:rPr>
        <w:t>7</w:t>
      </w:r>
      <w:r>
        <w:rPr>
          <w:rStyle w:val="15"/>
          <w:rFonts w:hint="eastAsia"/>
          <w:color w:val="auto"/>
        </w:rPr>
        <w:t>. 局限性与风控</w:t>
      </w:r>
      <w:r>
        <w:rPr>
          <w:rFonts w:hint="eastAsia"/>
          <w:color w:val="auto"/>
          <w:lang w:val="en-US" w:eastAsia="zh-CN"/>
        </w:rPr>
        <w:fldChar w:fldCharType="end"/>
      </w:r>
      <w:bookmarkEnd w:id="13"/>
    </w:p>
    <w:bookmarkEnd w:id="14"/>
    <w:p w14:paraId="7DC7D67B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本模型基于历史数据统计规律，使用者需知晓以下盲区：</w:t>
      </w:r>
    </w:p>
    <w:p w14:paraId="61658FC2">
      <w:pPr>
        <w:bidi w:val="0"/>
        <w:spacing w:line="240" w:lineRule="auto"/>
        <w:rPr>
          <w:rFonts w:hint="eastAsia"/>
          <w:sz w:val="21"/>
          <w:szCs w:val="21"/>
        </w:rPr>
      </w:pPr>
    </w:p>
    <w:p w14:paraId="2E3D9AE2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黑天鹅盲区：</w:t>
      </w:r>
      <w:r>
        <w:rPr>
          <w:rFonts w:hint="eastAsia"/>
          <w:sz w:val="21"/>
          <w:szCs w:val="21"/>
          <w:lang w:val="en-US" w:eastAsia="zh-CN"/>
        </w:rPr>
        <w:t>部分采用</w:t>
      </w:r>
      <w:r>
        <w:rPr>
          <w:rFonts w:hint="eastAsia"/>
          <w:sz w:val="21"/>
          <w:szCs w:val="21"/>
        </w:rPr>
        <w:t>Z-Score 模型假设数据服从正态分布，对于“肥尾”风险（如地缘战争爆发当日）</w:t>
      </w:r>
      <w:r>
        <w:rPr>
          <w:rFonts w:hint="eastAsia"/>
          <w:sz w:val="21"/>
          <w:szCs w:val="21"/>
          <w:lang w:val="en-US" w:eastAsia="zh-CN"/>
        </w:rPr>
        <w:t>市场会出现连续的非对称波动，模型可能会在得分极端化之前产生信号滞后</w:t>
      </w:r>
      <w:r>
        <w:rPr>
          <w:rFonts w:hint="eastAsia"/>
          <w:sz w:val="21"/>
          <w:szCs w:val="21"/>
        </w:rPr>
        <w:t>。</w:t>
      </w:r>
    </w:p>
    <w:p w14:paraId="4A35B17A">
      <w:pPr>
        <w:bidi w:val="0"/>
        <w:spacing w:line="240" w:lineRule="auto"/>
        <w:rPr>
          <w:rFonts w:hint="eastAsia"/>
          <w:sz w:val="21"/>
          <w:szCs w:val="21"/>
        </w:rPr>
      </w:pPr>
    </w:p>
    <w:p w14:paraId="4EE71D64">
      <w:pPr>
        <w:bidi w:val="0"/>
        <w:spacing w:line="240" w:lineRule="auto"/>
        <w:rPr>
          <w:rFonts w:hint="eastAsia"/>
          <w:sz w:val="21"/>
          <w:szCs w:val="21"/>
        </w:rPr>
      </w:pPr>
    </w:p>
    <w:p w14:paraId="299DC799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分子端缺失：当前模型侧重分母端（流动性与利率），未包含企业盈利（EPS）及 GDP 增长的高频预测。建议结合</w:t>
      </w:r>
      <w:r>
        <w:rPr>
          <w:rFonts w:hint="eastAsia"/>
          <w:sz w:val="21"/>
          <w:szCs w:val="21"/>
          <w:lang w:val="en-US" w:eastAsia="zh-CN"/>
        </w:rPr>
        <w:t>美国经济</w:t>
      </w:r>
      <w:r>
        <w:rPr>
          <w:rFonts w:hint="eastAsia"/>
          <w:sz w:val="21"/>
          <w:szCs w:val="21"/>
        </w:rPr>
        <w:t>数据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就业，消费，GDP）</w:t>
      </w:r>
      <w:r>
        <w:rPr>
          <w:rFonts w:hint="eastAsia"/>
          <w:sz w:val="21"/>
          <w:szCs w:val="21"/>
        </w:rPr>
        <w:t>辅助判断基本面。</w:t>
      </w:r>
    </w:p>
    <w:p w14:paraId="6D9193D2">
      <w:pPr>
        <w:bidi w:val="0"/>
        <w:spacing w:line="240" w:lineRule="auto"/>
        <w:rPr>
          <w:rFonts w:hint="eastAsia"/>
          <w:sz w:val="21"/>
          <w:szCs w:val="21"/>
        </w:rPr>
      </w:pPr>
    </w:p>
    <w:p w14:paraId="1077B6ED">
      <w:pPr>
        <w:bidi w:val="0"/>
        <w:spacing w:line="240" w:lineRule="auto"/>
        <w:rPr>
          <w:rFonts w:hint="eastAsia"/>
          <w:sz w:val="21"/>
          <w:szCs w:val="21"/>
        </w:rPr>
      </w:pPr>
    </w:p>
    <w:p w14:paraId="1A2ACB2F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结构性失效：</w:t>
      </w:r>
    </w:p>
    <w:p w14:paraId="7D248DE9">
      <w:pPr>
        <w:numPr>
          <w:ilvl w:val="0"/>
          <w:numId w:val="2"/>
        </w:numPr>
        <w:bidi w:val="0"/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当市场交易逻辑发生范式转换时，需人工干预调整权重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模型无法自动识别市场“叙事逻辑”的切换。</w:t>
      </w:r>
    </w:p>
    <w:p w14:paraId="754764D2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案例：在衰退初期，坏消息（非农不及预期）即好消息（预期降息）；但在衰退深水期，坏消息即坏消息（硬着陆风险）。</w:t>
      </w:r>
    </w:p>
    <w:p w14:paraId="707286EC">
      <w:pPr>
        <w:bidi w:val="0"/>
        <w:spacing w:line="240" w:lineRule="auto"/>
        <w:rPr>
          <w:rFonts w:hint="eastAsia" w:eastAsiaTheme="minorEastAsia"/>
          <w:sz w:val="21"/>
          <w:szCs w:val="21"/>
          <w:lang w:val="en-US" w:eastAsia="zh-CN"/>
        </w:rPr>
      </w:pPr>
    </w:p>
    <w:p w14:paraId="22EDD1FA">
      <w:pPr>
        <w:numPr>
          <w:ilvl w:val="0"/>
          <w:numId w:val="2"/>
        </w:numPr>
        <w:bidi w:val="0"/>
        <w:spacing w:line="240" w:lineRule="auto"/>
        <w:ind w:left="0" w:leftChars="0" w:firstLine="0" w:firstLineChars="0"/>
        <w:rPr>
          <w:rFonts w:hint="eastAsia" w:eastAsiaTheme="minorEastAsia"/>
          <w:sz w:val="21"/>
          <w:szCs w:val="21"/>
          <w:lang w:val="en-US" w:eastAsia="zh-CN"/>
        </w:rPr>
      </w:pPr>
      <w:r>
        <w:rPr>
          <w:rFonts w:hint="eastAsia" w:eastAsiaTheme="minorEastAsia"/>
          <w:sz w:val="21"/>
          <w:szCs w:val="21"/>
          <w:lang w:val="en-US" w:eastAsia="zh-CN"/>
        </w:rPr>
        <w:t>虽然本模型内置了 SRF（隔夜担保融资便利）等危机熔断机制，但若危机爆发于模型未覆盖的领域（如加密货币系统性崩塌或信用债违约），总分可能无法及时反映底层流动性断裂。</w:t>
      </w:r>
    </w:p>
    <w:p w14:paraId="2F1E3D46">
      <w:pPr>
        <w:bidi w:val="0"/>
        <w:spacing w:line="240" w:lineRule="auto"/>
        <w:rPr>
          <w:rFonts w:hint="eastAsia" w:eastAsiaTheme="minorEastAsia"/>
          <w:sz w:val="21"/>
          <w:szCs w:val="21"/>
          <w:lang w:val="en-US" w:eastAsia="zh-CN"/>
        </w:rPr>
      </w:pPr>
    </w:p>
    <w:p w14:paraId="6EF0036D">
      <w:pPr>
        <w:bidi w:val="0"/>
        <w:spacing w:line="240" w:lineRule="auto"/>
        <w:rPr>
          <w:rFonts w:hint="eastAsia" w:eastAsiaTheme="minorEastAsia"/>
          <w:sz w:val="21"/>
          <w:szCs w:val="21"/>
          <w:lang w:val="en-US" w:eastAsia="zh-CN"/>
        </w:rPr>
      </w:pPr>
    </w:p>
    <w:p w14:paraId="16603F25">
      <w:pPr>
        <w:bidi w:val="0"/>
        <w:spacing w:line="240" w:lineRule="auto"/>
        <w:rPr>
          <w:rFonts w:hint="eastAsia" w:eastAsiaTheme="minorEastAsia"/>
          <w:sz w:val="21"/>
          <w:szCs w:val="21"/>
          <w:lang w:val="en-US" w:eastAsia="zh-CN"/>
        </w:rPr>
      </w:pPr>
      <w:r>
        <w:rPr>
          <w:rFonts w:hint="eastAsia" w:eastAsiaTheme="minorEastAsia"/>
          <w:sz w:val="21"/>
          <w:szCs w:val="21"/>
          <w:lang w:val="en-US" w:eastAsia="zh-CN"/>
        </w:rPr>
        <w:t>风控操作：当日评分出现 ±10 分以上的剧烈波动时，首要任务不是交易，而是检查数据源完整性。严禁在关键经济数据（如非农、CPI）公布前后 15 分钟内仅依赖模型自动化信号进行大规模调仓。</w:t>
      </w:r>
    </w:p>
    <w:p w14:paraId="0835A048">
      <w:pPr>
        <w:bidi w:val="0"/>
        <w:spacing w:line="240" w:lineRule="auto"/>
        <w:rPr>
          <w:rFonts w:hint="eastAsia" w:eastAsiaTheme="minorEastAsia"/>
          <w:sz w:val="21"/>
          <w:szCs w:val="21"/>
          <w:lang w:val="en-US" w:eastAsia="zh-CN"/>
        </w:rPr>
      </w:pPr>
    </w:p>
    <w:p w14:paraId="3F396968">
      <w:pPr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pict>
          <v:rect id="_x0000_i103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ED9B4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71BD2DBD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p w14:paraId="7C3FAA7F">
      <w:pPr>
        <w:bidi w:val="0"/>
        <w:spacing w:line="240" w:lineRule="auto"/>
        <w:rPr>
          <w:rFonts w:hint="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437D3EF5">
      <w:pPr>
        <w:pStyle w:val="9"/>
        <w:snapToGrid w:val="0"/>
        <w:rPr>
          <w:rFonts w:hint="eastAsia"/>
          <w:lang w:val="en-US" w:eastAsia="zh-CN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(U-3)：是美国劳工统计局（BLS）发布的官方标准失业率：没有工作，但在过去 4 周内积极寻找工作，并且目前能够工作的人</w:t>
      </w:r>
    </w:p>
    <w:p w14:paraId="78B3F32B">
      <w:pPr>
        <w:pStyle w:val="9"/>
        <w:snapToGrid w:val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E19FE"/>
    <w:multiLevelType w:val="singleLevel"/>
    <w:tmpl w:val="BFAE19FE"/>
    <w:lvl w:ilvl="0" w:tentative="0">
      <w:start w:val="1"/>
      <w:numFmt w:val="upperLetter"/>
      <w:suff w:val="space"/>
      <w:lvlText w:val="%1."/>
      <w:lvlJc w:val="left"/>
      <w:rPr>
        <w:rFonts w:hint="default"/>
        <w:color w:val="4874CB" w:themeColor="accent1"/>
        <w14:textFill>
          <w14:solidFill>
            <w14:schemeClr w14:val="accent1"/>
          </w14:solidFill>
        </w14:textFill>
      </w:rPr>
    </w:lvl>
  </w:abstractNum>
  <w:abstractNum w:abstractNumId="1">
    <w:nsid w:val="FFFF2526"/>
    <w:multiLevelType w:val="singleLevel"/>
    <w:tmpl w:val="FFFF25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F9770"/>
    <w:rsid w:val="12BB527B"/>
    <w:rsid w:val="16ABCA6A"/>
    <w:rsid w:val="32F6D329"/>
    <w:rsid w:val="3BFBABFF"/>
    <w:rsid w:val="3DFF9770"/>
    <w:rsid w:val="3E9F0056"/>
    <w:rsid w:val="4DEEDDDE"/>
    <w:rsid w:val="78DF448C"/>
    <w:rsid w:val="7E6F3A19"/>
    <w:rsid w:val="7E9B5F90"/>
    <w:rsid w:val="7FEFC17D"/>
    <w:rsid w:val="AFA4D31B"/>
    <w:rsid w:val="BFAB2E6C"/>
    <w:rsid w:val="FEFAB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uiPriority w:val="0"/>
  </w:style>
  <w:style w:type="paragraph" w:styleId="9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styleId="16">
    <w:name w:val="HTML Code"/>
    <w:basedOn w:val="13"/>
    <w:uiPriority w:val="0"/>
    <w:rPr>
      <w:rFonts w:ascii="Courier New" w:hAnsi="Courier New"/>
      <w:sz w:val="20"/>
    </w:rPr>
  </w:style>
  <w:style w:type="character" w:styleId="17">
    <w:name w:val="footnote reference"/>
    <w:basedOn w:val="13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330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2026-01-23T22:31:00Z</dcterms:created>
  <dc:creator>momo</dc:creator>
  <cp:lastModifiedBy>WPS_1768474493</cp:lastModifiedBy>
  <dcterms:modified xsi:type="dcterms:W3CDTF">2026-02-24T18:56:16Z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93798027B3ABBD215686736904E9A9E0_41</vt:lpwstr>
  </property>
</Properties>
</file>