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96FFEE" w14:textId="77777777" w:rsidR="001C3A86" w:rsidRDefault="00000000">
      <w:pPr>
        <w:spacing w:after="60"/>
        <w:jc w:val="center"/>
      </w:pPr>
      <w:r>
        <w:rPr>
          <w:b/>
          <w:bCs/>
          <w:color w:val="16202B"/>
          <w:sz w:val="34"/>
          <w:szCs w:val="34"/>
        </w:rPr>
        <w:t>AMBER MOFFETT</w:t>
      </w:r>
    </w:p>
    <w:p w14:paraId="20E5202F" w14:textId="5C2BF158" w:rsidR="001C3A86" w:rsidRDefault="00000000">
      <w:pPr>
        <w:pBdr>
          <w:bottom w:val="single" w:sz="6" w:space="8" w:color="2E5E5B"/>
        </w:pBdr>
        <w:spacing w:after="160"/>
        <w:jc w:val="center"/>
      </w:pPr>
      <w:r>
        <w:rPr>
          <w:color w:val="5F6B76"/>
        </w:rPr>
        <w:t xml:space="preserve">Melbourne, Australia  |  moffett.amber@gmail.com  |  </w:t>
      </w:r>
      <w:hyperlink r:id="rId5" w:history="1">
        <w:r>
          <w:rPr>
            <w:color w:val="5F6B76"/>
            <w:u w:val="single"/>
          </w:rPr>
          <w:t>linkedin.com/in/amber-moffett</w:t>
        </w:r>
      </w:hyperlink>
    </w:p>
    <w:p w14:paraId="111072EF" w14:textId="77777777" w:rsidR="001C3A86" w:rsidRDefault="00000000">
      <w:pPr>
        <w:keepNext/>
        <w:pBdr>
          <w:bottom w:val="single" w:sz="4" w:space="3" w:color="C9CBC4"/>
        </w:pBdr>
        <w:spacing w:before="260" w:after="100"/>
      </w:pPr>
      <w:r>
        <w:rPr>
          <w:b/>
          <w:bCs/>
          <w:color w:val="2E5E5B"/>
          <w:spacing w:val="12"/>
          <w:sz w:val="23"/>
          <w:szCs w:val="23"/>
        </w:rPr>
        <w:t>SUMMARY OF QUALIFICATIONS</w:t>
      </w:r>
    </w:p>
    <w:p w14:paraId="3F15F5B8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b/>
          <w:bCs/>
          <w:color w:val="16202B"/>
        </w:rPr>
        <w:t xml:space="preserve">Research expertise: </w:t>
      </w:r>
      <w:r>
        <w:rPr>
          <w:color w:val="16202B"/>
        </w:rPr>
        <w:t>Nearly a decade of applied research experience focused on democracy, rights, and governance (DRG) in conflict-affected environments. Specialized in qualitative methods, with a strong understanding of quantitative approaches.</w:t>
      </w:r>
    </w:p>
    <w:p w14:paraId="488064D7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b/>
          <w:bCs/>
          <w:color w:val="16202B"/>
        </w:rPr>
        <w:t xml:space="preserve">Research leadership and management: </w:t>
      </w:r>
      <w:r>
        <w:rPr>
          <w:color w:val="16202B"/>
        </w:rPr>
        <w:t>Director-level experience designing, leading, and managing multi-million-dollar USAID-funded research portfolios in conflict-affected settings, with project management and research roles on World Bank, UNICEF, and African Risk Capacity (ARC) projects. Proven ability to lead international teams and ensure methodological rigor.</w:t>
      </w:r>
    </w:p>
    <w:p w14:paraId="00A97383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b/>
          <w:bCs/>
          <w:color w:val="16202B"/>
        </w:rPr>
        <w:t xml:space="preserve">Thematic and regional expertise: </w:t>
      </w:r>
      <w:r>
        <w:rPr>
          <w:color w:val="16202B"/>
        </w:rPr>
        <w:t>Democracy, rights, and governance (DRG), with doctoral research in international relations at the intersection of hegemony, autocratization, and world order. Extensive experience in fragile and conflict-affected environments, including Myanmar, Ethiopia, and Sudan.</w:t>
      </w:r>
    </w:p>
    <w:p w14:paraId="08E0DD4C" w14:textId="77777777" w:rsidR="00FA15DB" w:rsidRPr="00FA15DB" w:rsidRDefault="00000000" w:rsidP="00FA15DB">
      <w:pPr>
        <w:pStyle w:val="ListParagraph"/>
        <w:numPr>
          <w:ilvl w:val="0"/>
          <w:numId w:val="2"/>
        </w:numPr>
        <w:contextualSpacing/>
      </w:pPr>
      <w:r>
        <w:rPr>
          <w:b/>
          <w:bCs/>
          <w:color w:val="16202B"/>
        </w:rPr>
        <w:t xml:space="preserve">Communication: </w:t>
      </w:r>
      <w:r>
        <w:rPr>
          <w:color w:val="16202B"/>
        </w:rPr>
        <w:t>Experienced presenting complex research findings to diverse public- and private-sector audiences; skilled in developing training and educational materials.</w:t>
      </w:r>
    </w:p>
    <w:p w14:paraId="2C702018" w14:textId="69C42F3C" w:rsidR="001C3A86" w:rsidRDefault="00000000" w:rsidP="00FA15DB">
      <w:pPr>
        <w:pStyle w:val="ListParagraph"/>
        <w:numPr>
          <w:ilvl w:val="0"/>
          <w:numId w:val="2"/>
        </w:numPr>
        <w:contextualSpacing/>
      </w:pPr>
      <w:r w:rsidRPr="00FA15DB">
        <w:rPr>
          <w:b/>
          <w:bCs/>
          <w:color w:val="16202B"/>
        </w:rPr>
        <w:t xml:space="preserve">Languages: </w:t>
      </w:r>
      <w:r w:rsidRPr="00FA15DB">
        <w:rPr>
          <w:color w:val="16202B"/>
        </w:rPr>
        <w:t>Native English, Advanced-Intermediate Spanish, Intermediate French, Beginner Thai</w:t>
      </w:r>
    </w:p>
    <w:p w14:paraId="648C0991" w14:textId="77777777" w:rsidR="001C3A86" w:rsidRDefault="00000000">
      <w:pPr>
        <w:keepNext/>
        <w:pBdr>
          <w:bottom w:val="single" w:sz="4" w:space="3" w:color="C9CBC4"/>
        </w:pBdr>
        <w:spacing w:before="260" w:after="100"/>
      </w:pPr>
      <w:r>
        <w:rPr>
          <w:b/>
          <w:bCs/>
          <w:color w:val="2E5E5B"/>
          <w:spacing w:val="12"/>
          <w:sz w:val="23"/>
          <w:szCs w:val="23"/>
        </w:rPr>
        <w:t>EDUCATION</w:t>
      </w:r>
    </w:p>
    <w:p w14:paraId="6B57D923" w14:textId="77777777" w:rsidR="001C3A86" w:rsidRDefault="00000000">
      <w:pPr>
        <w:keepNext/>
        <w:spacing w:before="140" w:after="20"/>
      </w:pPr>
      <w:r>
        <w:rPr>
          <w:b/>
          <w:bCs/>
          <w:color w:val="16202B"/>
          <w:sz w:val="22"/>
          <w:szCs w:val="22"/>
        </w:rPr>
        <w:t>PhD, Political Science and Government — Monash University, Melbourne</w:t>
      </w:r>
    </w:p>
    <w:p w14:paraId="24320F46" w14:textId="77777777" w:rsidR="001C3A86" w:rsidRDefault="00000000">
      <w:pPr>
        <w:keepNext/>
        <w:spacing w:after="60"/>
      </w:pPr>
      <w:r>
        <w:rPr>
          <w:i/>
          <w:iCs/>
          <w:color w:val="5F6B76"/>
        </w:rPr>
        <w:t>Feb 2026 – Aug 2029 (expected)  |  Research focus: international relations; hegemony, autocratization, and world order</w:t>
      </w:r>
    </w:p>
    <w:p w14:paraId="2F80B823" w14:textId="77777777" w:rsidR="001C3A86" w:rsidRDefault="00000000">
      <w:pPr>
        <w:keepNext/>
        <w:spacing w:before="140" w:after="20"/>
      </w:pPr>
      <w:r>
        <w:rPr>
          <w:b/>
          <w:bCs/>
          <w:color w:val="16202B"/>
          <w:sz w:val="22"/>
          <w:szCs w:val="22"/>
        </w:rPr>
        <w:t>M.A., International Development — Josef Korbel School of International Studies, University of Denver</w:t>
      </w:r>
    </w:p>
    <w:p w14:paraId="7824EA08" w14:textId="77777777" w:rsidR="001C3A86" w:rsidRDefault="00000000">
      <w:pPr>
        <w:keepNext/>
        <w:spacing w:after="60"/>
      </w:pPr>
      <w:r>
        <w:rPr>
          <w:i/>
          <w:iCs/>
          <w:color w:val="5F6B76"/>
        </w:rPr>
        <w:t>June 2017  |  Concentrations: post-conflict gender equality, forced migration</w:t>
      </w:r>
    </w:p>
    <w:p w14:paraId="3B333482" w14:textId="77777777" w:rsidR="001C3A86" w:rsidRDefault="00000000">
      <w:pPr>
        <w:spacing w:after="80"/>
      </w:pPr>
      <w:r>
        <w:rPr>
          <w:color w:val="16202B"/>
        </w:rPr>
        <w:t xml:space="preserve">Master's thesis: </w:t>
      </w:r>
      <w:r>
        <w:rPr>
          <w:i/>
          <w:iCs/>
          <w:color w:val="16202B"/>
        </w:rPr>
        <w:t>Mechanisms to Post-Conflict Gender Equality</w:t>
      </w:r>
    </w:p>
    <w:p w14:paraId="367245F4" w14:textId="77777777" w:rsidR="001C3A86" w:rsidRDefault="00000000">
      <w:pPr>
        <w:keepNext/>
        <w:spacing w:before="140" w:after="20"/>
      </w:pPr>
      <w:r>
        <w:rPr>
          <w:b/>
          <w:bCs/>
          <w:color w:val="16202B"/>
          <w:sz w:val="22"/>
          <w:szCs w:val="22"/>
        </w:rPr>
        <w:t>B.A., Theatre, Film and Television — University of Colorado Denver</w:t>
      </w:r>
    </w:p>
    <w:p w14:paraId="58F27C9A" w14:textId="77777777" w:rsidR="001C3A86" w:rsidRDefault="00000000">
      <w:pPr>
        <w:keepNext/>
        <w:spacing w:after="60"/>
      </w:pPr>
      <w:r>
        <w:rPr>
          <w:i/>
          <w:iCs/>
          <w:color w:val="5F6B76"/>
        </w:rPr>
        <w:t>May 2009</w:t>
      </w:r>
    </w:p>
    <w:p w14:paraId="69A30D6A" w14:textId="77777777" w:rsidR="001C3A86" w:rsidRDefault="00000000">
      <w:pPr>
        <w:keepNext/>
        <w:pBdr>
          <w:bottom w:val="single" w:sz="4" w:space="3" w:color="C9CBC4"/>
        </w:pBdr>
        <w:spacing w:before="260" w:after="100"/>
      </w:pPr>
      <w:r>
        <w:rPr>
          <w:b/>
          <w:bCs/>
          <w:color w:val="2E5E5B"/>
          <w:spacing w:val="12"/>
          <w:sz w:val="23"/>
          <w:szCs w:val="23"/>
        </w:rPr>
        <w:t>PROFESSIONAL EXPERIENCE</w:t>
      </w:r>
    </w:p>
    <w:p w14:paraId="2F4683CF" w14:textId="77777777" w:rsidR="001C3A86" w:rsidRDefault="00000000">
      <w:pPr>
        <w:keepNext/>
        <w:spacing w:before="140" w:after="20"/>
      </w:pPr>
      <w:r>
        <w:rPr>
          <w:b/>
          <w:bCs/>
          <w:color w:val="16202B"/>
          <w:sz w:val="22"/>
          <w:szCs w:val="22"/>
        </w:rPr>
        <w:t>Senior Gender Specialist (Consultant)</w:t>
      </w:r>
    </w:p>
    <w:p w14:paraId="3F3B700B" w14:textId="77777777" w:rsidR="001C3A86" w:rsidRDefault="00000000">
      <w:pPr>
        <w:keepNext/>
        <w:spacing w:after="60"/>
      </w:pPr>
      <w:r>
        <w:rPr>
          <w:i/>
          <w:iCs/>
          <w:color w:val="5F6B76"/>
        </w:rPr>
        <w:t>World Bank Group, Global Shield Financing Facility  |  Aug 2025 – Present</w:t>
      </w:r>
    </w:p>
    <w:p w14:paraId="664639A6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Provide strategic and operational gender advisory support, integrating gender-sensitive approaches across disaster risk finance and insurance (DRFI) initiatives in fragile and climate-vulnerable contexts.</w:t>
      </w:r>
    </w:p>
    <w:p w14:paraId="2F1E8579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Review GSFF-funded project proposals from a gender perspective, advising Task Teams on practical entry points to strengthen gender integration in design, implementation and monitoring frameworks.</w:t>
      </w:r>
    </w:p>
    <w:p w14:paraId="40F34993" w14:textId="77777777" w:rsidR="001C3A86" w:rsidRDefault="00000000">
      <w:pPr>
        <w:keepNext/>
        <w:spacing w:before="140" w:after="20"/>
      </w:pPr>
      <w:r>
        <w:rPr>
          <w:b/>
          <w:bCs/>
          <w:color w:val="16202B"/>
          <w:sz w:val="22"/>
          <w:szCs w:val="22"/>
        </w:rPr>
        <w:t>Project Coordinator</w:t>
      </w:r>
    </w:p>
    <w:p w14:paraId="505A6557" w14:textId="31121023" w:rsidR="001C3A86" w:rsidRDefault="00000000">
      <w:pPr>
        <w:keepNext/>
        <w:spacing w:after="60"/>
      </w:pPr>
      <w:r>
        <w:rPr>
          <w:i/>
          <w:iCs/>
          <w:color w:val="5F6B76"/>
        </w:rPr>
        <w:t>Monash Global Peace and Security (GPS)</w:t>
      </w:r>
      <w:r w:rsidR="00036573">
        <w:rPr>
          <w:i/>
          <w:iCs/>
          <w:color w:val="5F6B76"/>
        </w:rPr>
        <w:t xml:space="preserve"> Research Hub</w:t>
      </w:r>
      <w:r>
        <w:rPr>
          <w:i/>
          <w:iCs/>
          <w:color w:val="5F6B76"/>
        </w:rPr>
        <w:t>, part-time  |  Aug 2026 – Present</w:t>
      </w:r>
    </w:p>
    <w:p w14:paraId="36EEABC0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Coordinate the hub's communications strategy, including producing and distributing a regular newsletter and managing website content for the research hub.</w:t>
      </w:r>
    </w:p>
    <w:p w14:paraId="7D3FA2DD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Identify funding opportunities aligned with hub priorities to support ongoing grant and proposal development.</w:t>
      </w:r>
    </w:p>
    <w:p w14:paraId="0D57E862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Plan and coordinate the hub's annual research meeting, managing logistics, agenda development, and participant coordination.</w:t>
      </w:r>
    </w:p>
    <w:p w14:paraId="4BB8A631" w14:textId="77777777" w:rsidR="00FA15DB" w:rsidRDefault="00FA15DB">
      <w:pPr>
        <w:keepNext/>
        <w:spacing w:before="140" w:after="20"/>
        <w:rPr>
          <w:b/>
          <w:bCs/>
          <w:color w:val="16202B"/>
          <w:sz w:val="22"/>
          <w:szCs w:val="22"/>
        </w:rPr>
      </w:pPr>
    </w:p>
    <w:p w14:paraId="007AA0E4" w14:textId="0116333F" w:rsidR="001C3A86" w:rsidRDefault="00000000">
      <w:pPr>
        <w:keepNext/>
        <w:spacing w:before="140" w:after="20"/>
      </w:pPr>
      <w:r>
        <w:rPr>
          <w:b/>
          <w:bCs/>
          <w:color w:val="16202B"/>
          <w:sz w:val="22"/>
          <w:szCs w:val="22"/>
        </w:rPr>
        <w:t>Director of Research</w:t>
      </w:r>
    </w:p>
    <w:p w14:paraId="7B7B0186" w14:textId="77777777" w:rsidR="001C3A86" w:rsidRDefault="00000000">
      <w:pPr>
        <w:keepNext/>
        <w:spacing w:after="60"/>
      </w:pPr>
      <w:r>
        <w:rPr>
          <w:i/>
          <w:iCs/>
          <w:color w:val="5F6B76"/>
        </w:rPr>
        <w:t>The Cadmus Group  |  Feb 2024 – Jul 2025</w:t>
      </w:r>
    </w:p>
    <w:p w14:paraId="38F66273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Designed and led a strategic research portfolio for a $60 million USAID-funded contract in a conflict environment, ensuring alignment with project priorities and policy objectives.</w:t>
      </w:r>
    </w:p>
    <w:p w14:paraId="5F2BA2E1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Produced approximately 30 research products, translating findings into strategic insights for public- and private-sector stakeholders.</w:t>
      </w:r>
    </w:p>
    <w:p w14:paraId="2814680F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Managed a team of international researchers and subcontractors, providing technical oversight and ensuring methodological integrity across all deliverables.</w:t>
      </w:r>
    </w:p>
    <w:p w14:paraId="31E8C484" w14:textId="77777777" w:rsidR="001C3A86" w:rsidRDefault="00000000">
      <w:pPr>
        <w:keepNext/>
        <w:spacing w:before="140" w:after="20"/>
      </w:pPr>
      <w:r>
        <w:rPr>
          <w:b/>
          <w:bCs/>
          <w:color w:val="16202B"/>
          <w:sz w:val="22"/>
          <w:szCs w:val="22"/>
        </w:rPr>
        <w:t>American Institutes for Research (formerly Kimetrica)</w:t>
      </w:r>
    </w:p>
    <w:p w14:paraId="49C7D737" w14:textId="77777777" w:rsidR="001C3A86" w:rsidRDefault="00000000">
      <w:pPr>
        <w:keepNext/>
        <w:spacing w:after="60"/>
      </w:pPr>
      <w:r>
        <w:rPr>
          <w:i/>
          <w:iCs/>
          <w:color w:val="5F6B76"/>
        </w:rPr>
        <w:t>Senior Researcher (promoted Apr 2023); Research Analyst and Gender Specialist (promoted Aug 2019); Project Administrative Assistant  |  Dec 2017 – Feb 2024</w:t>
      </w:r>
    </w:p>
    <w:p w14:paraId="12983BF7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Directed the $3.4 million USAID-funded Myanmar Analytical Activity (MAA), overseeing production of 300+ research products on governance, economic development, women's rights and inclusion, and ethnic rights.</w:t>
      </w:r>
    </w:p>
    <w:p w14:paraId="7541242E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Provided leadership and technical review across other multi-million-dollar research activities, including Food Security and Third-Party Monitoring (Sudan), FEWS NET, and the ARC Senegal process evaluation.</w:t>
      </w:r>
    </w:p>
    <w:p w14:paraId="5F15F46A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Led business development and institutional capacity-building, including capture for a $15–20 million USAID proposal and development of institutional systems supporting gender mainstreaming.</w:t>
      </w:r>
    </w:p>
    <w:p w14:paraId="684E8283" w14:textId="77777777" w:rsidR="001C3A86" w:rsidRDefault="00000000">
      <w:pPr>
        <w:keepNext/>
        <w:spacing w:before="140" w:after="20"/>
      </w:pPr>
      <w:r>
        <w:rPr>
          <w:b/>
          <w:bCs/>
          <w:color w:val="16202B"/>
          <w:sz w:val="22"/>
          <w:szCs w:val="22"/>
        </w:rPr>
        <w:t>Human Trafficking Center</w:t>
      </w:r>
    </w:p>
    <w:p w14:paraId="26F1CD08" w14:textId="77777777" w:rsidR="001C3A86" w:rsidRDefault="00000000">
      <w:pPr>
        <w:keepNext/>
        <w:spacing w:after="60"/>
      </w:pPr>
      <w:r>
        <w:rPr>
          <w:i/>
          <w:iCs/>
          <w:color w:val="5F6B76"/>
        </w:rPr>
        <w:t>Graduate Associate Director (promoted May 2016); Research Assistant  |  Oct 2015 – Jun 2017</w:t>
      </w:r>
    </w:p>
    <w:p w14:paraId="255385E6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Managed a team of 10 research assistants developing and implementing strategic program priorities.</w:t>
      </w:r>
    </w:p>
    <w:p w14:paraId="104481CE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Conducted quantitative and qualitative analysis of US Trafficking in Persons reports, coding 154 variables with an error rate under 2%.</w:t>
      </w:r>
    </w:p>
    <w:p w14:paraId="2F34669F" w14:textId="77777777" w:rsidR="001C3A86" w:rsidRDefault="00000000">
      <w:pPr>
        <w:keepNext/>
        <w:spacing w:before="140" w:after="20"/>
      </w:pPr>
      <w:r>
        <w:rPr>
          <w:b/>
          <w:bCs/>
          <w:color w:val="16202B"/>
          <w:sz w:val="22"/>
          <w:szCs w:val="22"/>
        </w:rPr>
        <w:t>International Organization for Migration (IOM)</w:t>
      </w:r>
    </w:p>
    <w:p w14:paraId="0851B0BD" w14:textId="77777777" w:rsidR="001C3A86" w:rsidRDefault="00000000">
      <w:pPr>
        <w:keepNext/>
        <w:spacing w:after="60"/>
      </w:pPr>
      <w:r>
        <w:rPr>
          <w:i/>
          <w:iCs/>
          <w:color w:val="5F6B76"/>
        </w:rPr>
        <w:t>International Development Fund Intern  |  Jun 2016 – Aug 2016</w:t>
      </w:r>
    </w:p>
    <w:p w14:paraId="40F6075F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Designed and conducted an evaluation of climate migration projects examining impact and sustainability.</w:t>
      </w:r>
    </w:p>
    <w:p w14:paraId="398590A4" w14:textId="77777777" w:rsidR="001C3A86" w:rsidRDefault="00000000">
      <w:pPr>
        <w:keepNext/>
        <w:pBdr>
          <w:bottom w:val="single" w:sz="4" w:space="3" w:color="C9CBC4"/>
        </w:pBdr>
        <w:spacing w:before="260" w:after="100"/>
      </w:pPr>
      <w:r>
        <w:rPr>
          <w:b/>
          <w:bCs/>
          <w:color w:val="2E5E5B"/>
          <w:spacing w:val="12"/>
          <w:sz w:val="23"/>
          <w:szCs w:val="23"/>
        </w:rPr>
        <w:t>WORKS IN PROGRESS</w:t>
      </w:r>
    </w:p>
    <w:p w14:paraId="540AC835" w14:textId="77777777" w:rsidR="001C3A86" w:rsidRDefault="00000000">
      <w:pPr>
        <w:spacing w:after="80"/>
      </w:pPr>
      <w:r>
        <w:rPr>
          <w:color w:val="16202B"/>
        </w:rPr>
        <w:t>“Crisis of Adaptation, Crisis of Survival: The Differential Global Impacts of US Illiberalisation.” Working paper.</w:t>
      </w:r>
    </w:p>
    <w:p w14:paraId="3CAF70EC" w14:textId="77777777" w:rsidR="001C3A86" w:rsidRDefault="00000000">
      <w:pPr>
        <w:keepNext/>
        <w:pBdr>
          <w:bottom w:val="single" w:sz="4" w:space="3" w:color="C9CBC4"/>
        </w:pBdr>
        <w:spacing w:before="260" w:after="100"/>
      </w:pPr>
      <w:r>
        <w:rPr>
          <w:b/>
          <w:bCs/>
          <w:color w:val="2E5E5B"/>
          <w:spacing w:val="12"/>
          <w:sz w:val="23"/>
          <w:szCs w:val="23"/>
        </w:rPr>
        <w:t>CONFERENCE PRESENTATIONS</w:t>
      </w:r>
    </w:p>
    <w:p w14:paraId="318BD524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“Crisis of Adaptation, Crisis of Survival: The Uneven Consequences of US Illiberalisation.” Monash School of Social Science Graduate Research Symposium, Clayton, Australia, September 2026.</w:t>
      </w:r>
    </w:p>
    <w:p w14:paraId="5C7CA3E3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“Crisis of Adaptation, Crisis of Survival: The Differential Global Impacts of US Illiberalisation.” Australian Political Studies Association Conference, Geelong, Australia, November 2026 (forthcoming).</w:t>
      </w:r>
    </w:p>
    <w:p w14:paraId="34A82531" w14:textId="77777777" w:rsidR="001C3A86" w:rsidRDefault="00000000">
      <w:pPr>
        <w:keepNext/>
        <w:pBdr>
          <w:bottom w:val="single" w:sz="4" w:space="3" w:color="C9CBC4"/>
        </w:pBdr>
        <w:spacing w:before="260" w:after="100"/>
      </w:pPr>
      <w:r>
        <w:rPr>
          <w:b/>
          <w:bCs/>
          <w:color w:val="2E5E5B"/>
          <w:spacing w:val="12"/>
          <w:sz w:val="23"/>
          <w:szCs w:val="23"/>
        </w:rPr>
        <w:t>SELECTED PUBLICATIONS AND RESEARCH OUTPUTS</w:t>
      </w:r>
    </w:p>
    <w:p w14:paraId="31A78798" w14:textId="77777777" w:rsidR="001C3A86" w:rsidRDefault="00000000">
      <w:pPr>
        <w:keepNext/>
        <w:spacing w:before="140" w:after="40"/>
      </w:pPr>
      <w:r>
        <w:rPr>
          <w:b/>
          <w:bCs/>
          <w:color w:val="16202B"/>
        </w:rPr>
        <w:t>Policy research reports — lead author</w:t>
      </w:r>
    </w:p>
    <w:p w14:paraId="03098DF1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i/>
          <w:iCs/>
          <w:color w:val="16202B"/>
        </w:rPr>
        <w:t>Shan State Political Economic Analysis.</w:t>
      </w:r>
      <w:r>
        <w:rPr>
          <w:color w:val="16202B"/>
        </w:rPr>
        <w:t xml:space="preserve"> Kimetrica, Mekong Economics, and USAID, 2022.</w:t>
      </w:r>
    </w:p>
    <w:p w14:paraId="2097011D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i/>
          <w:iCs/>
          <w:color w:val="16202B"/>
        </w:rPr>
        <w:t>Women's Rights and Justice.</w:t>
      </w:r>
      <w:r>
        <w:rPr>
          <w:color w:val="16202B"/>
        </w:rPr>
        <w:t xml:space="preserve"> Kimetrica, Mekong Economics, and USAID, 2021.</w:t>
      </w:r>
    </w:p>
    <w:p w14:paraId="5C126F9B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i/>
          <w:iCs/>
          <w:color w:val="16202B"/>
        </w:rPr>
        <w:t>Burmanization.</w:t>
      </w:r>
      <w:r>
        <w:rPr>
          <w:color w:val="16202B"/>
        </w:rPr>
        <w:t xml:space="preserve"> Kimetrica, Mekong Economics, and USAID, 2020.</w:t>
      </w:r>
    </w:p>
    <w:p w14:paraId="4A507562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i/>
          <w:iCs/>
          <w:color w:val="16202B"/>
        </w:rPr>
        <w:t>Migration, Environment and Climate Change Review.</w:t>
      </w:r>
      <w:r>
        <w:rPr>
          <w:color w:val="16202B"/>
        </w:rPr>
        <w:t xml:space="preserve"> International Organization for Migration, 2016.</w:t>
      </w:r>
    </w:p>
    <w:p w14:paraId="0BB415E8" w14:textId="77777777" w:rsidR="001C3A86" w:rsidRDefault="00000000">
      <w:pPr>
        <w:keepNext/>
        <w:spacing w:before="140" w:after="40"/>
      </w:pPr>
      <w:r>
        <w:rPr>
          <w:b/>
          <w:bCs/>
          <w:color w:val="16202B"/>
        </w:rPr>
        <w:t>Policy research reports — contributing author</w:t>
      </w:r>
    </w:p>
    <w:p w14:paraId="16B92EF0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i/>
          <w:iCs/>
          <w:color w:val="16202B"/>
        </w:rPr>
        <w:t>Burmese Diaspora in the US.</w:t>
      </w:r>
      <w:r>
        <w:rPr>
          <w:color w:val="16202B"/>
        </w:rPr>
        <w:t xml:space="preserve"> Kimetrica, Mekong Economics, and USAID, 2021.</w:t>
      </w:r>
    </w:p>
    <w:p w14:paraId="594A75DE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i/>
          <w:iCs/>
          <w:color w:val="16202B"/>
        </w:rPr>
        <w:t>Cultural Influences on Myanmar's National Identity.</w:t>
      </w:r>
      <w:r>
        <w:rPr>
          <w:color w:val="16202B"/>
        </w:rPr>
        <w:t xml:space="preserve"> Kimetrica, Mekong Economics, and USAID, 2020.</w:t>
      </w:r>
    </w:p>
    <w:p w14:paraId="1898A6D5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i/>
          <w:iCs/>
          <w:color w:val="16202B"/>
        </w:rPr>
        <w:t>Economic Growth in Myanmar: An Overview of Who Benefits from the Transition.</w:t>
      </w:r>
      <w:r>
        <w:rPr>
          <w:color w:val="16202B"/>
        </w:rPr>
        <w:t xml:space="preserve"> Kimetrica, Mekong Economics, and USAID, 2020.</w:t>
      </w:r>
    </w:p>
    <w:p w14:paraId="33450369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i/>
          <w:iCs/>
          <w:color w:val="16202B"/>
        </w:rPr>
        <w:t>Freedom of Expression.</w:t>
      </w:r>
      <w:r>
        <w:rPr>
          <w:color w:val="16202B"/>
        </w:rPr>
        <w:t xml:space="preserve"> Kimetrica, Mekong Economics, and USAID, November 2019.</w:t>
      </w:r>
    </w:p>
    <w:p w14:paraId="79A0984D" w14:textId="77777777" w:rsidR="001C3A86" w:rsidRDefault="00000000">
      <w:pPr>
        <w:keepNext/>
        <w:pBdr>
          <w:bottom w:val="single" w:sz="4" w:space="3" w:color="C9CBC4"/>
        </w:pBdr>
        <w:spacing w:before="260" w:after="100"/>
      </w:pPr>
      <w:r>
        <w:rPr>
          <w:b/>
          <w:bCs/>
          <w:color w:val="2E5E5B"/>
          <w:spacing w:val="12"/>
          <w:sz w:val="23"/>
          <w:szCs w:val="23"/>
        </w:rPr>
        <w:lastRenderedPageBreak/>
        <w:t>HONORS AND ACTIVITIES</w:t>
      </w:r>
    </w:p>
    <w:p w14:paraId="20FFB4EA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Faculty of Arts International Postgraduate Research Scholarship, Monash University, 2026–</w:t>
      </w:r>
    </w:p>
    <w:p w14:paraId="0CCC40EA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Co-funded Monash Graduate Scholarship, Monash University, 2026–</w:t>
      </w:r>
    </w:p>
    <w:p w14:paraId="12E30490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Colombia Delegate, Global Youth Connect, 2017</w:t>
      </w:r>
    </w:p>
    <w:p w14:paraId="2A32BA97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Duke University Global Policy and Governance Fellow, Jun–Aug 2016</w:t>
      </w:r>
    </w:p>
    <w:p w14:paraId="772D081F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Collester Scholarship, The Community Foundation, 2015–2017</w:t>
      </w:r>
    </w:p>
    <w:p w14:paraId="159D823A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Dean's Recognition Scholarship, Josef Korbel School of International Studies, 2015–2017</w:t>
      </w:r>
    </w:p>
    <w:p w14:paraId="5699B360" w14:textId="77777777" w:rsidR="001C3A86" w:rsidRDefault="00000000">
      <w:pPr>
        <w:pStyle w:val="ListParagraph"/>
        <w:numPr>
          <w:ilvl w:val="0"/>
          <w:numId w:val="2"/>
        </w:numPr>
        <w:contextualSpacing/>
      </w:pPr>
      <w:r>
        <w:rPr>
          <w:color w:val="16202B"/>
        </w:rPr>
        <w:t>ASIST Scholarship, EWI Denver Chapter, 2015–2016</w:t>
      </w:r>
    </w:p>
    <w:sectPr w:rsidR="001C3A86">
      <w:pgSz w:w="12240" w:h="15840"/>
      <w:pgMar w:top="860" w:right="1224" w:bottom="860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014669"/>
    <w:multiLevelType w:val="hybridMultilevel"/>
    <w:tmpl w:val="E8B89AA4"/>
    <w:lvl w:ilvl="0" w:tplc="3642E342">
      <w:start w:val="1"/>
      <w:numFmt w:val="bullet"/>
      <w:lvlText w:val="●"/>
      <w:lvlJc w:val="left"/>
      <w:pPr>
        <w:ind w:left="720" w:hanging="360"/>
      </w:pPr>
    </w:lvl>
    <w:lvl w:ilvl="1" w:tplc="F2E247F8">
      <w:start w:val="1"/>
      <w:numFmt w:val="bullet"/>
      <w:lvlText w:val="○"/>
      <w:lvlJc w:val="left"/>
      <w:pPr>
        <w:ind w:left="1440" w:hanging="360"/>
      </w:pPr>
    </w:lvl>
    <w:lvl w:ilvl="2" w:tplc="4F20EAF6">
      <w:start w:val="1"/>
      <w:numFmt w:val="bullet"/>
      <w:lvlText w:val="■"/>
      <w:lvlJc w:val="left"/>
      <w:pPr>
        <w:ind w:left="2160" w:hanging="360"/>
      </w:pPr>
    </w:lvl>
    <w:lvl w:ilvl="3" w:tplc="9ECEF0FC">
      <w:start w:val="1"/>
      <w:numFmt w:val="bullet"/>
      <w:lvlText w:val="●"/>
      <w:lvlJc w:val="left"/>
      <w:pPr>
        <w:ind w:left="2880" w:hanging="360"/>
      </w:pPr>
    </w:lvl>
    <w:lvl w:ilvl="4" w:tplc="AAFADB6A">
      <w:start w:val="1"/>
      <w:numFmt w:val="bullet"/>
      <w:lvlText w:val="○"/>
      <w:lvlJc w:val="left"/>
      <w:pPr>
        <w:ind w:left="3600" w:hanging="360"/>
      </w:pPr>
    </w:lvl>
    <w:lvl w:ilvl="5" w:tplc="016C0ADE">
      <w:start w:val="1"/>
      <w:numFmt w:val="bullet"/>
      <w:lvlText w:val="■"/>
      <w:lvlJc w:val="left"/>
      <w:pPr>
        <w:ind w:left="4320" w:hanging="360"/>
      </w:pPr>
    </w:lvl>
    <w:lvl w:ilvl="6" w:tplc="5B32152A">
      <w:start w:val="1"/>
      <w:numFmt w:val="bullet"/>
      <w:lvlText w:val="●"/>
      <w:lvlJc w:val="left"/>
      <w:pPr>
        <w:ind w:left="5040" w:hanging="360"/>
      </w:pPr>
    </w:lvl>
    <w:lvl w:ilvl="7" w:tplc="4D4E33DA">
      <w:start w:val="1"/>
      <w:numFmt w:val="bullet"/>
      <w:lvlText w:val="●"/>
      <w:lvlJc w:val="left"/>
      <w:pPr>
        <w:ind w:left="5760" w:hanging="360"/>
      </w:pPr>
    </w:lvl>
    <w:lvl w:ilvl="8" w:tplc="838AC2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305FD5"/>
    <w:multiLevelType w:val="hybridMultilevel"/>
    <w:tmpl w:val="97A86D88"/>
    <w:lvl w:ilvl="0" w:tplc="79A08D20">
      <w:start w:val="1"/>
      <w:numFmt w:val="bullet"/>
      <w:lvlText w:val="•"/>
      <w:lvlJc w:val="left"/>
      <w:pPr>
        <w:ind w:left="403" w:hanging="259"/>
      </w:pPr>
      <w:rPr>
        <w:rFonts w:ascii="Calibri" w:eastAsia="Calibri" w:hAnsi="Calibri" w:cs="Calibri"/>
        <w:sz w:val="21"/>
        <w:szCs w:val="21"/>
      </w:rPr>
    </w:lvl>
    <w:lvl w:ilvl="1" w:tplc="9F40E3F2">
      <w:numFmt w:val="decimal"/>
      <w:lvlText w:val=""/>
      <w:lvlJc w:val="left"/>
    </w:lvl>
    <w:lvl w:ilvl="2" w:tplc="7564FEFE">
      <w:numFmt w:val="decimal"/>
      <w:lvlText w:val=""/>
      <w:lvlJc w:val="left"/>
    </w:lvl>
    <w:lvl w:ilvl="3" w:tplc="146AA778">
      <w:numFmt w:val="decimal"/>
      <w:lvlText w:val=""/>
      <w:lvlJc w:val="left"/>
    </w:lvl>
    <w:lvl w:ilvl="4" w:tplc="2D0C73DE">
      <w:numFmt w:val="decimal"/>
      <w:lvlText w:val=""/>
      <w:lvlJc w:val="left"/>
    </w:lvl>
    <w:lvl w:ilvl="5" w:tplc="81308B9A">
      <w:numFmt w:val="decimal"/>
      <w:lvlText w:val=""/>
      <w:lvlJc w:val="left"/>
    </w:lvl>
    <w:lvl w:ilvl="6" w:tplc="2D5681F2">
      <w:numFmt w:val="decimal"/>
      <w:lvlText w:val=""/>
      <w:lvlJc w:val="left"/>
    </w:lvl>
    <w:lvl w:ilvl="7" w:tplc="933CD040">
      <w:numFmt w:val="decimal"/>
      <w:lvlText w:val=""/>
      <w:lvlJc w:val="left"/>
    </w:lvl>
    <w:lvl w:ilvl="8" w:tplc="C248EEE2">
      <w:numFmt w:val="decimal"/>
      <w:lvlText w:val=""/>
      <w:lvlJc w:val="left"/>
    </w:lvl>
  </w:abstractNum>
  <w:num w:numId="1" w16cid:durableId="1945309029">
    <w:abstractNumId w:val="0"/>
    <w:lvlOverride w:ilvl="0">
      <w:startOverride w:val="1"/>
    </w:lvlOverride>
  </w:num>
  <w:num w:numId="2" w16cid:durableId="17270227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A86"/>
    <w:rsid w:val="00036573"/>
    <w:rsid w:val="001C3A86"/>
    <w:rsid w:val="009D7186"/>
    <w:rsid w:val="00FA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E9EEDC"/>
  <w15:docId w15:val="{17E2B095-6CFF-2746-A9D6-14B4C0C0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T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mber-moffet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995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Amber Moffett</cp:lastModifiedBy>
  <cp:revision>3</cp:revision>
  <dcterms:created xsi:type="dcterms:W3CDTF">2026-10-05T02:03:00Z</dcterms:created>
  <dcterms:modified xsi:type="dcterms:W3CDTF">2026-10-05T02:07:00Z</dcterms:modified>
</cp:coreProperties>
</file>