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200"/>
      </w:pPr>
      <w:r>
        <w:rPr>
          <w:b/>
          <w:bCs/>
          <w:color w:val="1E50FA"/>
          <w:sz w:val="64"/>
          <w:szCs w:val="64"/>
        </w:rPr>
        <w:t xml:space="preserve">MINDCODED</w:t>
      </w:r>
    </w:p>
    <w:p>
      <w:pPr>
        <w:spacing w:after="2000"/>
      </w:pPr>
      <w:r>
        <w:rPr>
          <w:color w:val="52525B"/>
          <w:sz w:val="30"/>
          <w:szCs w:val="30"/>
        </w:rPr>
        <w:t xml:space="preserve">Brand Identity Guide — v1.0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„Digitale Erlebnisse, die bleiben.“</w:t>
      </w:r>
    </w:p>
    <w:p>
      <w:pPr>
        <w:spacing w:after="3200"/>
      </w:pPr>
      <w:r>
        <w:rPr>
          <w:color w:val="71717A"/>
          <w:sz w:val="18"/>
          <w:szCs w:val="18"/>
        </w:rPr>
        <w:t xml:space="preserve">Stand: August 2026 · Entwurf zur internen Abstimmung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Markenfundament</w:t>
      </w:r>
    </w:p>
    <w:p>
      <w:pPr>
        <w:pStyle w:val="Heading2"/>
        <w:spacing w:after="150" w:before="300"/>
      </w:pPr>
      <w:r>
        <w:t xml:space="preserve">Mission</w:t>
      </w:r>
    </w:p>
    <w:p>
      <w:pPr>
        <w:spacing w:after="160"/>
      </w:pPr>
      <w:r>
        <w:rPr>
          <w:sz w:val="22"/>
          <w:szCs w:val="22"/>
        </w:rPr>
        <w:t xml:space="preserve">Mindcoded baut modulare, nutzerzentrierte Websites für kleine Unternehmen und Selbstständige – mit dem Anspruch großer Agenturen, aber der Nahbarkeit eines spezialisierten Studios aus Stuttgart.</w:t>
      </w:r>
    </w:p>
    <w:p>
      <w:pPr>
        <w:pStyle w:val="Heading2"/>
        <w:spacing w:after="150" w:before="300"/>
      </w:pPr>
      <w:r>
        <w:t xml:space="preserve">Positionierung</w:t>
      </w:r>
    </w:p>
    <w:p>
      <w:pPr>
        <w:spacing w:after="160"/>
      </w:pPr>
      <w:r>
        <w:rPr>
          <w:sz w:val="22"/>
          <w:szCs w:val="22"/>
        </w:rPr>
        <w:t xml:space="preserve">Für kleine Unternehmen und Selbstständige, die eine professionelle, technisch exzellente Website ohne Agentur-Overhead brauchen, ist Mindcoded das Studio, das Design-Denken (Mind) und sauberen Code (Code) in einer Hand vereint – im Gegensatz zu Baukasten-Lösungen oder unpersönlichen Großagenturen.</w:t>
      </w:r>
    </w:p>
    <w:p>
      <w:pPr>
        <w:pStyle w:val="Heading2"/>
        <w:spacing w:after="150" w:before="300"/>
      </w:pPr>
      <w:r>
        <w:t xml:space="preserve">Zielgruppe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Kleine Unternehmen &amp; Selbstständige (Fitness, Wellness, lokale Dienstleister) mit Bedarf an einer modernen Web-Präsenz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Gründer:innen und kleine Teams, die Wert auf Design und Performance legen, aber kein Inhouse-Dev-Team haben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Sekundär: kleine Agenturen/Freelancer als Kooperationspartner</w:t>
      </w:r>
    </w:p>
    <w:p>
      <w:pPr>
        <w:pStyle w:val="Heading2"/>
        <w:spacing w:after="150" w:before="300"/>
      </w:pPr>
      <w:r>
        <w:t xml:space="preserve">Markenpersönlichkeit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Präzise — jedes Detail ist durchdacht, keine Zufälle im UI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Kreativ — Lösungen, die auffallen, ohne zu überladen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Vertrauenswürdig — Klarheit statt Buzzwords, transparente Kommunikation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Progressiv — moderner Stack (Vue.js, Nuxt 3, TypeScript), am Puls der Zeit</w:t>
      </w:r>
    </w:p>
    <w:p>
      <w:pPr>
        <w:pStyle w:val="Heading2"/>
        <w:spacing w:after="150" w:before="300"/>
      </w:pPr>
      <w:r>
        <w:t xml:space="preserve">Tonalität</w:t>
      </w:r>
    </w:p>
    <w:p>
      <w:pPr>
        <w:spacing w:after="160"/>
      </w:pPr>
      <w:r>
        <w:rPr>
          <w:sz w:val="22"/>
          <w:szCs w:val="22"/>
        </w:rPr>
        <w:t xml:space="preserve">Direkt, unkompliziert, auf Augenhöhe. Kurze Sätze, aktive Sprache, kein Agentur-Jargon. Deutsch als Hauptsprache mit englischer Option — beides konsequent lokalisiert.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Visuelle Identität</w:t>
      </w:r>
    </w:p>
    <w:p>
      <w:pPr>
        <w:pStyle w:val="Heading2"/>
        <w:spacing w:after="150" w:before="300"/>
      </w:pPr>
      <w:r>
        <w:t xml:space="preserve">Farbpalette</w:t>
      </w:r>
    </w:p>
    <w:p>
      <w:pPr>
        <w:spacing w:after="160"/>
      </w:pPr>
      <w:r>
        <w:rPr>
          <w:sz w:val="22"/>
          <w:szCs w:val="22"/>
        </w:rPr>
        <w:t xml:space="preserve">Werte unten sind aus den bestehenden Screenshots gemessen (Pixel-Sampling) und bestätigen ein Tailwind-CSS-Zinc-Farbsystem als Basis. Bitte gegen die tatsächlichen CSS-Variablen im Projekt verifizieren, kleine Abweichungen durch Anti-Aliasing sind möglich.</w:t>
      </w:r>
    </w:p>
    <w:p>
      <w:pPr>
        <w:spacing w:after="10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4200"/>
      </w:tblGrid>
      <w:tr>
        <w:tc>
          <w:tcPr>
            <w:tcW w:type="dxa" w:w="1600"/>
            <w:shd w:fill="F4F4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shd w:fill="F4F4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shd w:fill="F4F4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Hex</w:t>
            </w:r>
          </w:p>
        </w:tc>
        <w:tc>
          <w:tcPr>
            <w:tcW w:type="dxa" w:w="4200"/>
            <w:shd w:fill="F4F4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Verwendung</w:t>
            </w:r>
          </w:p>
        </w:tc>
      </w:tr>
      <w:tr>
        <w:tc>
          <w:tcPr>
            <w:tcW w:type="dxa" w:w="1600"/>
            <w:shd w:fill="09090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Void Black (Hintergrund)</w:t>
            </w:r>
          </w:p>
        </w:tc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#09090B</w:t>
            </w:r>
          </w:p>
        </w:tc>
        <w:tc>
          <w:tcPr>
            <w:tcW w:type="dxa" w:w="4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Primärer Seitenhintergrund, Basis für alle Screens</w:t>
            </w:r>
          </w:p>
        </w:tc>
      </w:tr>
      <w:tr>
        <w:tc>
          <w:tcPr>
            <w:tcW w:type="dxa" w:w="1600"/>
            <w:shd w:fill="27272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Surface Gray (Karten/Inputs)</w:t>
            </w:r>
          </w:p>
        </w:tc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#27272A</w:t>
            </w:r>
          </w:p>
        </w:tc>
        <w:tc>
          <w:tcPr>
            <w:tcW w:type="dxa" w:w="4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Cards, Input-Felder, Trennflächen</w:t>
            </w:r>
          </w:p>
        </w:tc>
      </w:tr>
      <w:tr>
        <w:tc>
          <w:tcPr>
            <w:tcW w:type="dxa" w:w="1600"/>
            <w:shd w:fill="1E50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Signal Blue (Akzent)</w:t>
            </w:r>
          </w:p>
        </w:tc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#1E50FA</w:t>
            </w:r>
          </w:p>
        </w:tc>
        <w:tc>
          <w:tcPr>
            <w:tcW w:type="dxa" w:w="4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CTAs, aktive Nav-States, Links, Signature-Move-Farbe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#FFFFFF</w:t>
            </w:r>
          </w:p>
        </w:tc>
        <w:tc>
          <w:tcPr>
            <w:tcW w:type="dxa" w:w="4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Headlines, primärer Lesetext</w:t>
            </w:r>
          </w:p>
        </w:tc>
      </w:tr>
      <w:tr>
        <w:tc>
          <w:tcPr>
            <w:tcW w:type="dxa" w:w="1600"/>
            <w:shd w:fill="A1A1A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#A1A1AA</w:t>
            </w:r>
          </w:p>
        </w:tc>
        <w:tc>
          <w:tcPr>
            <w:tcW w:type="dxa" w:w="4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Fließtext, Beschreibungen, Meta-Infos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t xml:space="preserve">Typografie</w:t>
      </w:r>
    </w:p>
    <w:p>
      <w:pPr>
        <w:spacing w:after="160"/>
      </w:pPr>
      <w:r>
        <w:rPr>
          <w:sz w:val="22"/>
          <w:szCs w:val="22"/>
        </w:rPr>
        <w:t xml:space="preserve">Headlines: fett, geometrische Groteske mit enger Laufweite (aktueller Stil erinnert an Inter/Geist-Klassen — exakte Font-Datei bitte im Projekt-CSS bestätigen).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H1/Hero: sehr fett (700–800), groß, knapp im Wortlaut ("Digitale Erlebnisse, die bleiben.")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Overline/Label: klein, Versalien, Letter-Spacing erhöht, in Signal Blue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Fließtext: regular, Text Secondary (Grauton), gute Lesbarkeit auf Void Black</w:t>
      </w:r>
    </w:p>
    <w:p>
      <w:pPr>
        <w:pStyle w:val="Heading2"/>
        <w:spacing w:after="150" w:before="300"/>
      </w:pPr>
      <w:r>
        <w:t xml:space="preserve">Bildsprache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Dunkle, kontrastreiche UI-Screens als Beweisführung ("echte Referenz")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Abstrakte, geometrische Formen statt Stock-Menschen/Business-Fotografie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Blau als einzige dominante Akzentfarbe — Portfolio-Beispiele dürfen eigene Farbwelt haben, das Mindcoded-UI selbst bleibt monochrom + Blau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Bewegungsidentität — Signature Moves</w:t>
      </w:r>
    </w:p>
    <w:p>
      <w:pPr>
        <w:spacing w:after="160"/>
      </w:pPr>
      <w:r>
        <w:rPr>
          <w:sz w:val="22"/>
          <w:szCs w:val="22"/>
        </w:rPr>
        <w:t xml:space="preserve">Vier Konzept-Richtungen für den animierten Hero-Bereich. Empfehlung: EINE Variante als primäre Signature für den Homepage-Hero fest etablieren, die übrigen gezielt für andere Kontexte einsetzen — nicht alle gleichzeitig auf einer Seite.</w:t>
      </w:r>
    </w:p>
    <w:p>
      <w:pPr>
        <w:spacing w:after="10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2400"/>
      </w:tblGrid>
      <w:tr>
        <w:tc>
          <w:tcPr>
            <w:tcW w:type="dxa" w:w="2200"/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Variante</w:t>
            </w:r>
          </w:p>
        </w:tc>
        <w:tc>
          <w:tcPr>
            <w:tcW w:type="dxa" w:w="3200"/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Signature Move</w:t>
            </w:r>
          </w:p>
        </w:tc>
        <w:tc>
          <w:tcPr>
            <w:tcW w:type="dxa" w:w="2200"/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Wirkung</w:t>
            </w:r>
          </w:p>
        </w:tc>
        <w:tc>
          <w:tcPr>
            <w:tcW w:type="dxa" w:w="2400"/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Primärer Einsatz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1. Code Crystallization ★ empfohlen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Code-Partikel fließen und erstarren zu einer klaren geometrischen Form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Präzise, kompetent, technisch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Homepage-Hero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2. Flux Flow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Organische, flüssige Farbflächen morphen ineinander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Kreativ, weich, modern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Kreativ-lastige Projektseiten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3. Spectrum Shift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Ein Farbverlauf durchläuft die Markenpalette in einer definierten Sequenz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Markant, wiedererkennbar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Sekundäre Einstiege, Portfolio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4. Pattern Emergence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Ein verborgenes Muster wird graduell sichtbar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Subtil, intellektuell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Case-Study-Detailseiten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t xml:space="preserve">Bewegungsprinzipien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Dauer Hero-Loop: 8–12 Sekunden, danach nahtloser Restart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Easing: weiche, physikalisch plausible Kurven (z. B. cubic-bezier(0.16, 1, 0.3, 1)) — nie linear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Micro-Interactions (Buttons, Cards) greifen dieselbe Bewegungslogik in verkürzter Form auf (300–500ms)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prefers-reduced-motion: statische, ruhige Fallback-Variante für alle animierten Elemente bereitstellen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Hero-Footage — Auswahlkriterien &amp; Such-Tags</w:t>
      </w:r>
    </w:p>
    <w:p>
      <w:pPr>
        <w:pStyle w:val="Heading2"/>
        <w:spacing w:after="150" w:before="300"/>
      </w:pPr>
      <w:r>
        <w:t xml:space="preserve">Kriterien für Stock-Footage (Übergangslösung)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Dunkler oder neutraler Hintergrund, der sich in Void Black einfärben lässt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Abstrakt, kein Bezug zu fremder Branche (keine Business-Handshakes, keine Stadtsilhouetten)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Loopfähig (nahtlos), mindestens 4K, keine eingebrannten Wasserzeichen/Logos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Bewegung muss sich in Signal Blue einfärben lassen (Graustufen-Footage eignet sich am besten für Color-Grading)</w:t>
      </w:r>
    </w:p>
    <w:p>
      <w:pPr>
        <w:spacing w:after="10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0"/>
        <w:gridCol w:w="2000"/>
      </w:tblGrid>
      <w:tr>
        <w:tc>
          <w:tcPr>
            <w:tcW w:type="dxa" w:w="2400"/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Variante</w:t>
            </w:r>
          </w:p>
        </w:tc>
        <w:tc>
          <w:tcPr>
            <w:tcW w:type="dxa" w:w="5600"/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Such-Tags</w:t>
            </w:r>
          </w:p>
        </w:tc>
        <w:tc>
          <w:tcPr>
            <w:tcW w:type="dxa" w:w="2000"/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Plattform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Code Crystallization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abstract particle crystallization loop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low poly formation dark blue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geometric wireframe assembly 4k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digital crystal growth loop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Artgrid, Envato Elements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Flux Flow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fluid gradient morph loop dark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abstract liquid flow blue navy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iridescent smoke simulation loop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Artgrid, Motion Array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Spectrum Shift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color spectrum gradient shift loop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holographic light rays dark background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prism gradient transition 4k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Envato Elements, Storyblocks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Pattern Emergence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grid pattern reveal dark tech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circuit lines emerge animation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geometric grid emergence blue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Artgrid, Motion Array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t xml:space="preserve">Wichtiger Hinweis</w:t>
      </w:r>
    </w:p>
    <w:p>
      <w:pPr>
        <w:spacing w:after="160"/>
      </w:pPr>
      <w:r>
        <w:rPr>
          <w:sz w:val="22"/>
          <w:szCs w:val="22"/>
        </w:rPr>
        <w:t xml:space="preserve">Stock-Footage sollte als Übergangslösung bzw. als sekundäre Ambient-Layer (5–10% Deckkraft, hinter dem eigentlichen UI) verstanden werden. Sie ist nicht exklusiv erwerbbar und daher langfristig nicht markenbildend. Für einen echten Wiedererkennungswert empfiehlt sich eine custom-generative Animation (Three.js/Canvas), abgestimmt exakt auf die Markenfarben und die gewählte Signature-Move-Logik.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Vorgehen — Nächste Schritte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1. Markenfundament final abstimmen (dieses Dokument als Diskussionsgrundlage)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2. Primäre Signature Move festlegen (Empfehlung: Code Crystallization)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3. Referenzmaterial sammeln (Such-Tags oben, plus Awwwards/Dribbble für Interaktions-Inspiration)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4. Low-Fidelity-Prototyp bauen (Claude Design oder Figma) zur Validierung des Gefühls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5. Technische Umsetzung planen (Three.js/GSAP, Performance-Budget, Reduced-Motion-Fallback)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6. Testen auf echten Geräten, Feedback einholen, iterieren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7. Rollout der sekundären Signaturen auf der gesamten Website (Buttons, Cards, Übergänge)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2026-08-20T13:53:02.898Z</dcterms:created>
  <dcterms:modified xsi:type="dcterms:W3CDTF">2026-08-20T13:53:02.910Z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