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5C3D"/>
          <w:sz w:val="40"/>
          <w:szCs w:val="40"/>
        </w:rPr>
        <w:t xml:space="preserve">QUOTATION</w:t>
      </w:r>
    </w:p>
    <w:p>
      <w:pPr>
        <w:pBdr>
          <w:bottom w:val="single" w:color="D9711E" w:sz="20" w:space="6"/>
        </w:pBdr>
        <w:spacing w:after="260"/>
      </w:pPr>
      <w:r>
        <w:rPr>
          <w:rFonts w:ascii="Calibri" w:cs="Calibri" w:eastAsia="Calibri" w:hAnsi="Calibri"/>
          <w:color w:val="666666"/>
          <w:sz w:val="24"/>
          <w:szCs w:val="24"/>
        </w:rPr>
        <w:t xml:space="preserve">Custom Web Application Development — ISSP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Project</w:t>
            </w:r>
          </w:p>
        </w:tc>
        <w:tc>
          <w:tcPr>
            <w:tcW w:type="dxa" w:w="6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ISSP Website / Web Application Development</w:t>
            </w:r>
          </w:p>
        </w:tc>
      </w:tr>
      <w:tr>
        <w:tc>
          <w:tcPr>
            <w:tcW w:type="dxa" w:w="32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Development Approach</w:t>
            </w:r>
          </w:p>
        </w:tc>
        <w:tc>
          <w:tcPr>
            <w:tcW w:type="dxa" w:w="6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Built from scratch — custom CMS, no WordPress or pre-built platform</w:t>
            </w:r>
          </w:p>
        </w:tc>
      </w:tr>
      <w:tr>
        <w:tc>
          <w:tcPr>
            <w:tcW w:type="dxa" w:w="32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Domain &amp; Hosting</w:t>
            </w:r>
          </w:p>
        </w:tc>
        <w:tc>
          <w:tcPr>
            <w:tcW w:type="dxa" w:w="6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Client-provided (already in place)</w:t>
            </w:r>
          </w:p>
        </w:tc>
      </w:tr>
      <w:tr>
        <w:tc>
          <w:tcPr>
            <w:tcW w:type="dxa" w:w="32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Quotation Amount</w:t>
            </w:r>
          </w:p>
        </w:tc>
        <w:tc>
          <w:tcPr>
            <w:tcW w:type="dxa" w:w="6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₦450,000</w:t>
            </w:r>
          </w:p>
        </w:tc>
      </w:tr>
      <w:tr>
        <w:tc>
          <w:tcPr>
            <w:tcW w:type="dxa" w:w="32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Estimated Timeline</w:t>
            </w:r>
          </w:p>
        </w:tc>
        <w:tc>
          <w:tcPr>
            <w:tcW w:type="dxa" w:w="6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6–10 weeks, depending on final requirements and feedback</w:t>
            </w:r>
          </w:p>
        </w:tc>
      </w:tr>
      <w:tr>
        <w:tc>
          <w:tcPr>
            <w:tcW w:type="dxa" w:w="32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Post-Launch Support</w:t>
            </w:r>
          </w:p>
        </w:tc>
        <w:tc>
          <w:tcPr>
            <w:tcW w:type="dxa" w:w="6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6 months included at no extra cost</w:t>
            </w:r>
          </w:p>
        </w:tc>
      </w:tr>
    </w:tbl>
    <w:p>
      <w:pPr>
        <w:pBdr>
          <w:bottom w:val="single" w:color="D9711E" w:sz="8" w:space="4"/>
        </w:pBdr>
        <w:spacing w:after="140" w:before="320"/>
      </w:pPr>
      <w:r>
        <w:rPr>
          <w:rFonts w:ascii="Calibri" w:cs="Calibri" w:eastAsia="Calibri" w:hAnsi="Calibri"/>
          <w:b/>
          <w:bCs/>
          <w:color w:val="1F5C3D"/>
          <w:sz w:val="26"/>
          <w:szCs w:val="26"/>
        </w:rPr>
        <w:t xml:space="preserve">Project Scope</w:t>
      </w:r>
    </w:p>
    <w:p>
      <w:pPr>
        <w:pStyle w:val="ListParagraph"/>
        <w:numPr>
          <w:ilvl w:val="0"/>
          <w:numId w:val="2"/>
        </w:numPr>
        <w:spacing w:after="90"/>
      </w:pPr>
      <w:r>
        <w:rPr>
          <w:rFonts w:ascii="Calibri" w:cs="Calibri" w:eastAsia="Calibri" w:hAnsi="Calibri"/>
          <w:b w:val="false"/>
          <w:bCs w:val="false"/>
          <w:color w:val="222222"/>
          <w:sz w:val="22"/>
          <w:szCs w:val="22"/>
        </w:rPr>
        <w:t xml:space="preserve">Custom, fully responsive website of up to 8–10 pages: Home, About, Programme Pillars, News/Updates, Resources, Team, Partners, and Contact.</w:t>
      </w:r>
    </w:p>
    <w:p>
      <w:pPr>
        <w:pStyle w:val="ListParagraph"/>
        <w:numPr>
          <w:ilvl w:val="0"/>
          <w:numId w:val="2"/>
        </w:numPr>
        <w:spacing w:after="90"/>
      </w:pPr>
      <w:r>
        <w:rPr>
          <w:rFonts w:ascii="Calibri" w:cs="Calibri" w:eastAsia="Calibri" w:hAnsi="Calibri"/>
          <w:b w:val="false"/>
          <w:bCs w:val="false"/>
          <w:color w:val="222222"/>
          <w:sz w:val="22"/>
          <w:szCs w:val="22"/>
        </w:rPr>
        <w:t xml:space="preserve">Custom visual design built around ISSP's brand colours (forest green and orange).</w:t>
      </w:r>
    </w:p>
    <w:p>
      <w:pPr>
        <w:pStyle w:val="ListParagraph"/>
        <w:numPr>
          <w:ilvl w:val="0"/>
          <w:numId w:val="2"/>
        </w:numPr>
        <w:spacing w:after="90"/>
      </w:pPr>
      <w:r>
        <w:rPr>
          <w:rFonts w:ascii="Calibri" w:cs="Calibri" w:eastAsia="Calibri" w:hAnsi="Calibri"/>
          <w:b w:val="false"/>
          <w:bCs w:val="false"/>
          <w:color w:val="222222"/>
          <w:sz w:val="22"/>
          <w:szCs w:val="22"/>
        </w:rPr>
        <w:t xml:space="preserve">Content Management System (CMS) enabling the ISSP team to update content without developer involvement.</w:t>
      </w:r>
    </w:p>
    <w:p>
      <w:pPr>
        <w:pStyle w:val="ListParagraph"/>
        <w:numPr>
          <w:ilvl w:val="0"/>
          <w:numId w:val="2"/>
        </w:numPr>
        <w:spacing w:after="90"/>
      </w:pPr>
      <w:r>
        <w:rPr>
          <w:rFonts w:ascii="Calibri" w:cs="Calibri" w:eastAsia="Calibri" w:hAnsi="Calibri"/>
          <w:b w:val="false"/>
          <w:bCs w:val="false"/>
          <w:color w:val="222222"/>
          <w:sz w:val="22"/>
          <w:szCs w:val="22"/>
        </w:rPr>
        <w:t xml:space="preserve">Mobile-responsive layout across common screen sizes and browsers.</w:t>
      </w:r>
    </w:p>
    <w:p>
      <w:pPr>
        <w:pStyle w:val="ListParagraph"/>
        <w:numPr>
          <w:ilvl w:val="0"/>
          <w:numId w:val="2"/>
        </w:numPr>
        <w:spacing w:after="90"/>
      </w:pPr>
      <w:r>
        <w:rPr>
          <w:rFonts w:ascii="Calibri" w:cs="Calibri" w:eastAsia="Calibri" w:hAnsi="Calibri"/>
          <w:b w:val="false"/>
          <w:bCs w:val="false"/>
          <w:color w:val="222222"/>
          <w:sz w:val="22"/>
          <w:szCs w:val="22"/>
        </w:rPr>
        <w:t xml:space="preserve">Basic on-page SEO setup (meta titles/descriptions, sitemap, clean URLs, image alt tags).</w:t>
      </w:r>
    </w:p>
    <w:p>
      <w:pPr>
        <w:pStyle w:val="ListParagraph"/>
        <w:numPr>
          <w:ilvl w:val="0"/>
          <w:numId w:val="2"/>
        </w:numPr>
        <w:spacing w:after="90"/>
      </w:pPr>
      <w:r>
        <w:rPr>
          <w:rFonts w:ascii="Calibri" w:cs="Calibri" w:eastAsia="Calibri" w:hAnsi="Calibri"/>
          <w:b w:val="false"/>
          <w:bCs w:val="false"/>
          <w:color w:val="222222"/>
          <w:sz w:val="22"/>
          <w:szCs w:val="22"/>
        </w:rPr>
        <w:t xml:space="preserve">Stakeholder/member login area for insurers, regulators, and partners to securely access documents.</w:t>
      </w:r>
    </w:p>
    <w:p>
      <w:pPr>
        <w:pStyle w:val="ListParagraph"/>
        <w:numPr>
          <w:ilvl w:val="0"/>
          <w:numId w:val="2"/>
        </w:numPr>
        <w:spacing w:after="90"/>
      </w:pPr>
      <w:r>
        <w:rPr>
          <w:rFonts w:ascii="Calibri" w:cs="Calibri" w:eastAsia="Calibri" w:hAnsi="Calibri"/>
          <w:b w:val="false"/>
          <w:bCs w:val="false"/>
          <w:color w:val="222222"/>
          <w:sz w:val="22"/>
          <w:szCs w:val="22"/>
        </w:rPr>
        <w:t xml:space="preserve">Newsletter signup form with integration to an email/newsletter service.</w:t>
      </w:r>
    </w:p>
    <w:p>
      <w:pPr>
        <w:pStyle w:val="ListParagraph"/>
        <w:numPr>
          <w:ilvl w:val="0"/>
          <w:numId w:val="2"/>
        </w:numPr>
        <w:spacing w:after="90"/>
      </w:pPr>
      <w:r>
        <w:rPr>
          <w:rFonts w:ascii="Calibri" w:cs="Calibri" w:eastAsia="Calibri" w:hAnsi="Calibri"/>
          <w:b w:val="false"/>
          <w:bCs w:val="false"/>
          <w:color w:val="222222"/>
          <w:sz w:val="22"/>
          <w:szCs w:val="22"/>
        </w:rPr>
        <w:t xml:space="preserve">Downloads library for policy briefs, reports, and concept notes.</w:t>
      </w:r>
    </w:p>
    <w:p>
      <w:pPr>
        <w:pStyle w:val="ListParagraph"/>
        <w:numPr>
          <w:ilvl w:val="0"/>
          <w:numId w:val="2"/>
        </w:numPr>
        <w:spacing w:after="90"/>
      </w:pPr>
      <w:r>
        <w:rPr>
          <w:rFonts w:ascii="Calibri" w:cs="Calibri" w:eastAsia="Calibri" w:hAnsi="Calibri"/>
          <w:b w:val="false"/>
          <w:bCs w:val="false"/>
          <w:color w:val="222222"/>
          <w:sz w:val="22"/>
          <w:szCs w:val="22"/>
        </w:rPr>
        <w:t xml:space="preserve">Event calendar for programme launches and activities.</w:t>
      </w:r>
    </w:p>
    <w:p>
      <w:pPr>
        <w:pStyle w:val="ListParagraph"/>
        <w:numPr>
          <w:ilvl w:val="0"/>
          <w:numId w:val="2"/>
        </w:numPr>
        <w:spacing w:after="90"/>
      </w:pPr>
      <w:r>
        <w:rPr>
          <w:rFonts w:ascii="Calibri" w:cs="Calibri" w:eastAsia="Calibri" w:hAnsi="Calibri"/>
          <w:b w:val="false"/>
          <w:bCs w:val="false"/>
          <w:color w:val="222222"/>
          <w:sz w:val="22"/>
          <w:szCs w:val="22"/>
        </w:rPr>
        <w:t xml:space="preserve">Frontend and backend development based on the approved requirements.</w:t>
      </w:r>
    </w:p>
    <w:p>
      <w:pPr>
        <w:pStyle w:val="ListParagraph"/>
        <w:numPr>
          <w:ilvl w:val="0"/>
          <w:numId w:val="2"/>
        </w:numPr>
        <w:spacing w:after="90"/>
      </w:pPr>
      <w:r>
        <w:rPr>
          <w:rFonts w:ascii="Calibri" w:cs="Calibri" w:eastAsia="Calibri" w:hAnsi="Calibri"/>
          <w:b w:val="false"/>
          <w:bCs w:val="false"/>
          <w:color w:val="222222"/>
          <w:sz w:val="22"/>
          <w:szCs w:val="22"/>
        </w:rPr>
        <w:t xml:space="preserve">Database design and integration where required.</w:t>
      </w:r>
    </w:p>
    <w:p>
      <w:pPr>
        <w:pStyle w:val="ListParagraph"/>
        <w:numPr>
          <w:ilvl w:val="0"/>
          <w:numId w:val="2"/>
        </w:numPr>
        <w:spacing w:after="90"/>
      </w:pPr>
      <w:r>
        <w:rPr>
          <w:rFonts w:ascii="Calibri" w:cs="Calibri" w:eastAsia="Calibri" w:hAnsi="Calibri"/>
          <w:b w:val="false"/>
          <w:bCs w:val="false"/>
          <w:color w:val="222222"/>
          <w:sz w:val="22"/>
          <w:szCs w:val="22"/>
        </w:rPr>
        <w:t xml:space="preserve">Administrative functionality for managing website content and platform activity.</w:t>
      </w:r>
    </w:p>
    <w:p>
      <w:pPr>
        <w:pStyle w:val="ListParagraph"/>
        <w:numPr>
          <w:ilvl w:val="0"/>
          <w:numId w:val="2"/>
        </w:numPr>
        <w:spacing w:after="90"/>
      </w:pPr>
      <w:r>
        <w:rPr>
          <w:rFonts w:ascii="Calibri" w:cs="Calibri" w:eastAsia="Calibri" w:hAnsi="Calibri"/>
          <w:b w:val="false"/>
          <w:bCs w:val="false"/>
          <w:color w:val="222222"/>
          <w:sz w:val="22"/>
          <w:szCs w:val="22"/>
        </w:rPr>
        <w:t xml:space="preserve">Basic security, form validation, and deployment configuration.</w:t>
      </w:r>
    </w:p>
    <w:p>
      <w:pPr>
        <w:pStyle w:val="ListParagraph"/>
        <w:numPr>
          <w:ilvl w:val="0"/>
          <w:numId w:val="2"/>
        </w:numPr>
        <w:spacing w:after="90"/>
      </w:pPr>
      <w:r>
        <w:rPr>
          <w:rFonts w:ascii="Calibri" w:cs="Calibri" w:eastAsia="Calibri" w:hAnsi="Calibri"/>
          <w:b w:val="false"/>
          <w:bCs w:val="false"/>
          <w:color w:val="222222"/>
          <w:sz w:val="22"/>
          <w:szCs w:val="22"/>
        </w:rPr>
        <w:t xml:space="preserve">Testing across common screen sizes and browsers before launch.</w:t>
      </w:r>
    </w:p>
    <w:p>
      <w:pPr>
        <w:pStyle w:val="ListParagraph"/>
        <w:numPr>
          <w:ilvl w:val="0"/>
          <w:numId w:val="2"/>
        </w:numPr>
        <w:spacing w:after="90"/>
      </w:pPr>
      <w:r>
        <w:rPr>
          <w:rFonts w:ascii="Calibri" w:cs="Calibri" w:eastAsia="Calibri" w:hAnsi="Calibri"/>
          <w:b w:val="false"/>
          <w:bCs w:val="false"/>
          <w:color w:val="222222"/>
          <w:sz w:val="22"/>
          <w:szCs w:val="22"/>
        </w:rPr>
        <w:t xml:space="preserve">Deployment to the client's existing domain and hosting environment.</w:t>
      </w:r>
    </w:p>
    <w:p>
      <w:pPr>
        <w:pBdr>
          <w:bottom w:val="single" w:color="D9711E" w:sz="8" w:space="4"/>
        </w:pBdr>
        <w:spacing w:after="140" w:before="320"/>
      </w:pPr>
      <w:r>
        <w:rPr>
          <w:rFonts w:ascii="Calibri" w:cs="Calibri" w:eastAsia="Calibri" w:hAnsi="Calibri"/>
          <w:b/>
          <w:bCs/>
          <w:color w:val="1F5C3D"/>
          <w:sz w:val="26"/>
          <w:szCs w:val="26"/>
        </w:rPr>
        <w:t xml:space="preserve">Technology &amp; Development</w:t>
      </w:r>
    </w:p>
    <w:p>
      <w:pPr>
        <w:spacing w:after="120"/>
      </w:pPr>
      <w:r>
        <w:rPr>
          <w:rFonts w:ascii="Calibri" w:cs="Calibri" w:eastAsia="Calibri" w:hAnsi="Calibri"/>
          <w:b w:val="false"/>
          <w:bCs w:val="false"/>
          <w:i w:val="false"/>
          <w:iCs w:val="false"/>
          <w:color w:val="222222"/>
          <w:sz w:val="22"/>
          <w:szCs w:val="22"/>
        </w:rPr>
        <w:t xml:space="preserve">The project will be developed as a custom solution rather than on WordPress or another pre-built CMS. The final technology stack will be selected based on the approved requirements, performance needs, maintainability, and the client's hosting environment.</w:t>
      </w:r>
    </w:p>
    <w:p>
      <w:pPr>
        <w:pBdr>
          <w:bottom w:val="single" w:color="D9711E" w:sz="8" w:space="4"/>
        </w:pBdr>
        <w:spacing w:after="140" w:before="320"/>
      </w:pPr>
      <w:r>
        <w:rPr>
          <w:rFonts w:ascii="Calibri" w:cs="Calibri" w:eastAsia="Calibri" w:hAnsi="Calibri"/>
          <w:b/>
          <w:bCs/>
          <w:color w:val="1F5C3D"/>
          <w:sz w:val="26"/>
          <w:szCs w:val="26"/>
        </w:rPr>
        <w:t xml:space="preserve">Project Fee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3400"/>
      </w:tblGrid>
      <w:tr>
        <w:tc>
          <w:tcPr>
            <w:tcW w:type="dxa" w:w="668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Description</w:t>
            </w:r>
          </w:p>
        </w:tc>
        <w:tc>
          <w:tcPr>
            <w:tcW w:type="dxa" w:w="3400"/>
            <w:shd w:fill="EAF3EC" w:color="auto" w:val="clear"/>
            <w:tcMar>
              <w:top w:type="dxa" w:w="100"/>
              <w:left w:type="dxa" w:w="150"/>
              <w:bottom w:type="dxa" w:w="100"/>
              <w:right w:type="dxa" w:w="150"/>
            </w:tcMar>
          </w:tcPr>
          <w:p>
            <w:pPr>
              <w:jc w:val="right"/>
            </w:pPr>
            <w:r>
              <w:rPr>
                <w:rFonts w:ascii="Calibri" w:cs="Calibri" w:eastAsia="Calibri" w:hAnsi="Calibri"/>
                <w:b/>
                <w:bCs/>
                <w:color w:val="1F5C3D"/>
                <w:sz w:val="22"/>
                <w:szCs w:val="22"/>
              </w:rPr>
              <w:t xml:space="preserve">Amount</w:t>
            </w:r>
          </w:p>
        </w:tc>
      </w:tr>
      <w:tr>
        <w:tc>
          <w:tcPr>
            <w:tcW w:type="dxa" w:w="66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Custom Web Application Development (as scoped below)</w:t>
            </w:r>
          </w:p>
        </w:tc>
        <w:tc>
          <w:tcPr>
            <w:tcW w:type="dxa" w:w="3400"/>
            <w:tcMar>
              <w:top w:type="dxa" w:w="100"/>
              <w:left w:type="dxa" w:w="150"/>
              <w:bottom w:type="dxa" w:w="100"/>
              <w:right w:type="dxa" w:w="150"/>
            </w:tcMar>
          </w:tcPr>
          <w:p>
            <w:pPr>
              <w:jc w:val="right"/>
            </w:pPr>
            <w:r>
              <w:rPr>
                <w:rFonts w:ascii="Calibri" w:cs="Calibri" w:eastAsia="Calibri" w:hAnsi="Calibri"/>
                <w:b w:val="false"/>
                <w:bCs w:val="false"/>
                <w:color w:val="222222"/>
                <w:sz w:val="22"/>
                <w:szCs w:val="22"/>
              </w:rPr>
              <w:t xml:space="preserve">₦450,000</w:t>
            </w:r>
          </w:p>
        </w:tc>
      </w:tr>
      <w:tr>
        <w:tc>
          <w:tcPr>
            <w:tcW w:type="dxa" w:w="66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Domain</w:t>
            </w:r>
          </w:p>
        </w:tc>
        <w:tc>
          <w:tcPr>
            <w:tcW w:type="dxa" w:w="3400"/>
            <w:tcMar>
              <w:top w:type="dxa" w:w="100"/>
              <w:left w:type="dxa" w:w="150"/>
              <w:bottom w:type="dxa" w:w="100"/>
              <w:right w:type="dxa" w:w="150"/>
            </w:tcMar>
          </w:tcPr>
          <w:p>
            <w:pPr>
              <w:jc w:val="right"/>
            </w:pPr>
            <w:r>
              <w:rPr>
                <w:rFonts w:ascii="Calibri" w:cs="Calibri" w:eastAsia="Calibri" w:hAnsi="Calibri"/>
                <w:b w:val="false"/>
                <w:bCs w:val="false"/>
                <w:color w:val="222222"/>
                <w:sz w:val="22"/>
                <w:szCs w:val="22"/>
              </w:rPr>
              <w:t xml:space="preserve">Provided by client</w:t>
            </w:r>
          </w:p>
        </w:tc>
      </w:tr>
      <w:tr>
        <w:tc>
          <w:tcPr>
            <w:tcW w:type="dxa" w:w="66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Hosting</w:t>
            </w:r>
          </w:p>
        </w:tc>
        <w:tc>
          <w:tcPr>
            <w:tcW w:type="dxa" w:w="3400"/>
            <w:tcMar>
              <w:top w:type="dxa" w:w="100"/>
              <w:left w:type="dxa" w:w="150"/>
              <w:bottom w:type="dxa" w:w="100"/>
              <w:right w:type="dxa" w:w="150"/>
            </w:tcMar>
          </w:tcPr>
          <w:p>
            <w:pPr>
              <w:jc w:val="right"/>
            </w:pPr>
            <w:r>
              <w:rPr>
                <w:rFonts w:ascii="Calibri" w:cs="Calibri" w:eastAsia="Calibri" w:hAnsi="Calibri"/>
                <w:b w:val="false"/>
                <w:bCs w:val="false"/>
                <w:color w:val="222222"/>
                <w:sz w:val="22"/>
                <w:szCs w:val="22"/>
              </w:rPr>
              <w:t xml:space="preserve">Provided by client</w:t>
            </w:r>
          </w:p>
        </w:tc>
      </w:tr>
      <w:tr>
        <w:tc>
          <w:tcPr>
            <w:tcW w:type="dxa" w:w="66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6 Months Post-Launch Support</w:t>
            </w:r>
          </w:p>
        </w:tc>
        <w:tc>
          <w:tcPr>
            <w:tcW w:type="dxa" w:w="3400"/>
            <w:tcMar>
              <w:top w:type="dxa" w:w="100"/>
              <w:left w:type="dxa" w:w="150"/>
              <w:bottom w:type="dxa" w:w="100"/>
              <w:right w:type="dxa" w:w="150"/>
            </w:tcMar>
          </w:tcPr>
          <w:p>
            <w:pPr>
              <w:jc w:val="right"/>
            </w:pPr>
            <w:r>
              <w:rPr>
                <w:rFonts w:ascii="Calibri" w:cs="Calibri" w:eastAsia="Calibri" w:hAnsi="Calibri"/>
                <w:b w:val="false"/>
                <w:bCs w:val="false"/>
                <w:color w:val="222222"/>
                <w:sz w:val="22"/>
                <w:szCs w:val="22"/>
              </w:rPr>
              <w:t xml:space="preserve">Included — no additional charge</w:t>
            </w:r>
          </w:p>
        </w:tc>
      </w:tr>
      <w:tr>
        <w:tc>
          <w:tcPr>
            <w:tcW w:type="dxa" w:w="668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Total Development Fee</w:t>
            </w:r>
          </w:p>
        </w:tc>
        <w:tc>
          <w:tcPr>
            <w:tcW w:type="dxa" w:w="3400"/>
            <w:shd w:fill="EAF3EC" w:color="auto" w:val="clear"/>
            <w:tcMar>
              <w:top w:type="dxa" w:w="100"/>
              <w:left w:type="dxa" w:w="150"/>
              <w:bottom w:type="dxa" w:w="100"/>
              <w:right w:type="dxa" w:w="150"/>
            </w:tcMar>
          </w:tcPr>
          <w:p>
            <w:pPr>
              <w:jc w:val="right"/>
            </w:pPr>
            <w:r>
              <w:rPr>
                <w:rFonts w:ascii="Calibri" w:cs="Calibri" w:eastAsia="Calibri" w:hAnsi="Calibri"/>
                <w:b/>
                <w:bCs/>
                <w:color w:val="1F5C3D"/>
                <w:sz w:val="22"/>
                <w:szCs w:val="22"/>
              </w:rPr>
              <w:t xml:space="preserve">₦450,000</w:t>
            </w:r>
          </w:p>
        </w:tc>
      </w:tr>
    </w:tbl>
    <w:p>
      <w:pPr>
        <w:spacing w:after="100" w:before="200"/>
      </w:pPr>
      <w:r>
        <w:rPr>
          <w:rFonts w:ascii="Calibri" w:cs="Calibri" w:eastAsia="Calibri" w:hAnsi="Calibri"/>
          <w:b/>
          <w:bCs/>
          <w:color w:val="1F5C3D"/>
          <w:sz w:val="22"/>
          <w:szCs w:val="22"/>
        </w:rPr>
        <w:t xml:space="preserve">Payment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c>
          <w:tcPr>
            <w:tcW w:type="dxa" w:w="18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Share</w:t>
            </w:r>
          </w:p>
        </w:tc>
        <w:tc>
          <w:tcPr>
            <w:tcW w:type="dxa" w:w="240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Amount</w:t>
            </w:r>
          </w:p>
        </w:tc>
        <w:tc>
          <w:tcPr>
            <w:tcW w:type="dxa" w:w="5880"/>
            <w:shd w:fill="EAF3EC" w:color="auto" w:val="clear"/>
            <w:tcMar>
              <w:top w:type="dxa" w:w="100"/>
              <w:left w:type="dxa" w:w="150"/>
              <w:bottom w:type="dxa" w:w="100"/>
              <w:right w:type="dxa" w:w="150"/>
            </w:tcMar>
          </w:tcPr>
          <w:p>
            <w:pPr>
              <w:jc w:val="left"/>
            </w:pPr>
            <w:r>
              <w:rPr>
                <w:rFonts w:ascii="Calibri" w:cs="Calibri" w:eastAsia="Calibri" w:hAnsi="Calibri"/>
                <w:b/>
                <w:bCs/>
                <w:color w:val="1F5C3D"/>
                <w:sz w:val="22"/>
                <w:szCs w:val="22"/>
              </w:rPr>
              <w:t xml:space="preserve">Due</w:t>
            </w:r>
          </w:p>
        </w:tc>
      </w:tr>
      <w:tr>
        <w:tc>
          <w:tcPr>
            <w:tcW w:type="dxa" w:w="180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40%</w:t>
            </w:r>
          </w:p>
        </w:tc>
        <w:tc>
          <w:tcPr>
            <w:tcW w:type="dxa" w:w="240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₦180,000</w:t>
            </w:r>
          </w:p>
        </w:tc>
        <w:tc>
          <w:tcPr>
            <w:tcW w:type="dxa" w:w="5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Upon project commencement</w:t>
            </w:r>
          </w:p>
        </w:tc>
      </w:tr>
      <w:tr>
        <w:tc>
          <w:tcPr>
            <w:tcW w:type="dxa" w:w="180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30%</w:t>
            </w:r>
          </w:p>
        </w:tc>
        <w:tc>
          <w:tcPr>
            <w:tcW w:type="dxa" w:w="240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₦135,000</w:t>
            </w:r>
          </w:p>
        </w:tc>
        <w:tc>
          <w:tcPr>
            <w:tcW w:type="dxa" w:w="5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At the agreed development milestone</w:t>
            </w:r>
          </w:p>
        </w:tc>
      </w:tr>
      <w:tr>
        <w:tc>
          <w:tcPr>
            <w:tcW w:type="dxa" w:w="180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30%</w:t>
            </w:r>
          </w:p>
        </w:tc>
        <w:tc>
          <w:tcPr>
            <w:tcW w:type="dxa" w:w="240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₦135,000</w:t>
            </w:r>
          </w:p>
        </w:tc>
        <w:tc>
          <w:tcPr>
            <w:tcW w:type="dxa" w:w="5880"/>
            <w:tcMar>
              <w:top w:type="dxa" w:w="100"/>
              <w:left w:type="dxa" w:w="150"/>
              <w:bottom w:type="dxa" w:w="100"/>
              <w:right w:type="dxa" w:w="150"/>
            </w:tcMar>
          </w:tcPr>
          <w:p>
            <w:pPr>
              <w:jc w:val="left"/>
            </w:pPr>
            <w:r>
              <w:rPr>
                <w:rFonts w:ascii="Calibri" w:cs="Calibri" w:eastAsia="Calibri" w:hAnsi="Calibri"/>
                <w:b w:val="false"/>
                <w:bCs w:val="false"/>
                <w:color w:val="222222"/>
                <w:sz w:val="22"/>
                <w:szCs w:val="22"/>
              </w:rPr>
              <w:t xml:space="preserve">Upon completion, before final deployment/handover</w:t>
            </w:r>
          </w:p>
        </w:tc>
      </w:tr>
    </w:tbl>
    <w:p>
      <w:pPr>
        <w:pBdr>
          <w:bottom w:val="single" w:color="D9711E" w:sz="8" w:space="4"/>
        </w:pBdr>
        <w:spacing w:after="140" w:before="320"/>
      </w:pPr>
      <w:r>
        <w:rPr>
          <w:rFonts w:ascii="Calibri" w:cs="Calibri" w:eastAsia="Calibri" w:hAnsi="Calibri"/>
          <w:b/>
          <w:bCs/>
          <w:color w:val="1F5C3D"/>
          <w:sz w:val="26"/>
          <w:szCs w:val="26"/>
        </w:rPr>
        <w:t xml:space="preserve">Timeline</w:t>
      </w:r>
    </w:p>
    <w:p>
      <w:pPr>
        <w:spacing w:after="120"/>
      </w:pPr>
      <w:r>
        <w:rPr>
          <w:rFonts w:ascii="Calibri" w:cs="Calibri" w:eastAsia="Calibri" w:hAnsi="Calibri"/>
          <w:b w:val="false"/>
          <w:bCs w:val="false"/>
          <w:i w:val="false"/>
          <w:iCs w:val="false"/>
          <w:color w:val="222222"/>
          <w:sz w:val="22"/>
          <w:szCs w:val="22"/>
        </w:rPr>
        <w:t xml:space="preserve">The estimated development period is 6–10 weeks. The actual timeline may vary depending on the final scope, availability of required content/assets, client feedback, approvals, and any changes requested during development.</w:t>
      </w:r>
    </w:p>
    <w:p>
      <w:pPr>
        <w:pBdr>
          <w:bottom w:val="single" w:color="D9711E" w:sz="8" w:space="4"/>
        </w:pBdr>
        <w:spacing w:after="140" w:before="320"/>
      </w:pPr>
      <w:r>
        <w:rPr>
          <w:rFonts w:ascii="Calibri" w:cs="Calibri" w:eastAsia="Calibri" w:hAnsi="Calibri"/>
          <w:b/>
          <w:bCs/>
          <w:color w:val="1F5C3D"/>
          <w:sz w:val="26"/>
          <w:szCs w:val="26"/>
        </w:rPr>
        <w:t xml:space="preserve">Post-Launch Support</w:t>
      </w:r>
    </w:p>
    <w:p>
      <w:pPr>
        <w:spacing w:after="120"/>
      </w:pPr>
      <w:r>
        <w:rPr>
          <w:rFonts w:ascii="Calibri" w:cs="Calibri" w:eastAsia="Calibri" w:hAnsi="Calibri"/>
          <w:b w:val="false"/>
          <w:bCs w:val="false"/>
          <w:i w:val="false"/>
          <w:iCs w:val="false"/>
          <w:color w:val="222222"/>
          <w:sz w:val="22"/>
          <w:szCs w:val="22"/>
        </w:rPr>
        <w:t xml:space="preserve">Six (6) months of post-launch support is included in this quotation at no additional cost. This covers minor bug fixes, technical assistance, and guidance on using the CMS. It does not include new feature development, design changes, or content creation, which can be scoped separately if needed.</w:t>
      </w:r>
    </w:p>
    <w:p>
      <w:pPr>
        <w:pBdr>
          <w:bottom w:val="single" w:color="D9711E" w:sz="8" w:space="4"/>
        </w:pBdr>
        <w:spacing w:after="140" w:before="320"/>
      </w:pPr>
      <w:r>
        <w:rPr>
          <w:rFonts w:ascii="Calibri" w:cs="Calibri" w:eastAsia="Calibri" w:hAnsi="Calibri"/>
          <w:b/>
          <w:bCs/>
          <w:color w:val="1F5C3D"/>
          <w:sz w:val="26"/>
          <w:szCs w:val="26"/>
        </w:rPr>
        <w:t xml:space="preserve">Important Notes</w:t>
      </w:r>
    </w:p>
    <w:p>
      <w:pPr>
        <w:pStyle w:val="ListParagraph"/>
        <w:numPr>
          <w:ilvl w:val="0"/>
          <w:numId w:val="2"/>
        </w:numPr>
        <w:spacing w:after="90"/>
      </w:pPr>
      <w:r>
        <w:rPr>
          <w:rFonts w:ascii="Calibri" w:cs="Calibri" w:eastAsia="Calibri" w:hAnsi="Calibri"/>
          <w:b w:val="false"/>
          <w:bCs w:val="false"/>
          <w:color w:val="222222"/>
          <w:sz w:val="22"/>
          <w:szCs w:val="22"/>
        </w:rPr>
        <w:t xml:space="preserve">This quotation covers the full scope listed above, including the CMS, stakeholder login area, newsletter integration, downloads library, and event calendar — all costs for this agreed scope are reflected in the total fee; there are no hidden charges within it.</w:t>
      </w:r>
    </w:p>
    <w:p>
      <w:pPr>
        <w:pStyle w:val="ListParagraph"/>
        <w:numPr>
          <w:ilvl w:val="0"/>
          <w:numId w:val="2"/>
        </w:numPr>
        <w:spacing w:after="90"/>
      </w:pPr>
      <w:r>
        <w:rPr>
          <w:rFonts w:ascii="Calibri" w:cs="Calibri" w:eastAsia="Calibri" w:hAnsi="Calibri"/>
          <w:b w:val="false"/>
          <w:bCs w:val="false"/>
          <w:color w:val="222222"/>
          <w:sz w:val="22"/>
          <w:szCs w:val="22"/>
        </w:rPr>
        <w:t xml:space="preserve">Any adjustment, feature, or integration requested outside the scope agreed above will attract an additional charge, to be quoted and approved before work begins.</w:t>
      </w:r>
    </w:p>
    <w:p>
      <w:pPr>
        <w:pStyle w:val="ListParagraph"/>
        <w:numPr>
          <w:ilvl w:val="0"/>
          <w:numId w:val="2"/>
        </w:numPr>
        <w:spacing w:after="90"/>
      </w:pPr>
      <w:r>
        <w:rPr>
          <w:rFonts w:ascii="Calibri" w:cs="Calibri" w:eastAsia="Calibri" w:hAnsi="Calibri"/>
          <w:b w:val="false"/>
          <w:bCs w:val="false"/>
          <w:color w:val="222222"/>
          <w:sz w:val="22"/>
          <w:szCs w:val="22"/>
        </w:rPr>
        <w:t xml:space="preserve">The client is responsible for providing access to the existing hosting account/server and domain configuration required for deployment.</w:t>
      </w:r>
    </w:p>
    <w:p>
      <w:pPr>
        <w:pStyle w:val="ListParagraph"/>
        <w:numPr>
          <w:ilvl w:val="0"/>
          <w:numId w:val="2"/>
        </w:numPr>
        <w:spacing w:after="90"/>
      </w:pPr>
      <w:r>
        <w:rPr>
          <w:rFonts w:ascii="Calibri" w:cs="Calibri" w:eastAsia="Calibri" w:hAnsi="Calibri"/>
          <w:b w:val="false"/>
          <w:bCs w:val="false"/>
          <w:color w:val="222222"/>
          <w:sz w:val="22"/>
          <w:szCs w:val="22"/>
        </w:rPr>
        <w:t xml:space="preserve">Third-party services, paid APIs, premium assets, transaction/payment gateway charges, or other external service fees are not included unless expressly stated.</w:t>
      </w:r>
    </w:p>
    <w:p>
      <w:pPr>
        <w:pStyle w:val="ListParagraph"/>
        <w:numPr>
          <w:ilvl w:val="0"/>
          <w:numId w:val="2"/>
        </w:numPr>
        <w:spacing w:after="90"/>
      </w:pPr>
      <w:r>
        <w:rPr>
          <w:rFonts w:ascii="Calibri" w:cs="Calibri" w:eastAsia="Calibri" w:hAnsi="Calibri"/>
          <w:b w:val="false"/>
          <w:bCs w:val="false"/>
          <w:color w:val="222222"/>
          <w:sz w:val="22"/>
          <w:szCs w:val="22"/>
        </w:rPr>
        <w:t xml:space="preserve">Ongoing maintenance, updates, hosting management, or feature development beyond the included 6-month post-launch support period can be provided separately under a maintenance/support arrangement.</w:t>
      </w:r>
    </w:p>
    <w:p>
      <w:pPr>
        <w:pStyle w:val="ListParagraph"/>
        <w:numPr>
          <w:ilvl w:val="0"/>
          <w:numId w:val="2"/>
        </w:numPr>
        <w:spacing w:after="90"/>
      </w:pPr>
      <w:r>
        <w:rPr>
          <w:rFonts w:ascii="Calibri" w:cs="Calibri" w:eastAsia="Calibri" w:hAnsi="Calibri"/>
          <w:b w:val="false"/>
          <w:bCs w:val="false"/>
          <w:color w:val="222222"/>
          <w:sz w:val="22"/>
          <w:szCs w:val="22"/>
        </w:rPr>
        <w:t xml:space="preserve">The final scope will be confirmed in writing before development begins.</w:t>
      </w:r>
    </w:p>
    <w:p>
      <w:pPr>
        <w:spacing w:after="40" w:before="300"/>
      </w:pPr>
      <w:r>
        <w:rPr>
          <w:rFonts w:ascii="Calibri" w:cs="Calibri" w:eastAsia="Calibri" w:hAnsi="Calibri"/>
          <w:color w:val="222222"/>
          <w:sz w:val="22"/>
          <w:szCs w:val="22"/>
        </w:rPr>
        <w:t xml:space="preserve">Thank you for the opportunity to work on this project. We look forward to building a reliable, scalable, and professional digital platform that supports ISSP's objectives.</w:t>
      </w:r>
    </w:p>
    <w:p>
      <w:pPr>
        <w:spacing w:before="200"/>
      </w:pPr>
      <w:r>
        <w:rPr>
          <w:rFonts w:ascii="Calibri" w:cs="Calibri" w:eastAsia="Calibri" w:hAnsi="Calibri"/>
          <w:i/>
          <w:iCs/>
          <w:color w:val="666666"/>
          <w:sz w:val="20"/>
          <w:szCs w:val="20"/>
        </w:rPr>
        <w:t xml:space="preserve">Quotation prepared: 22 September 2026 (revised)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2026-09-22T14:20:25.295Z</dcterms:created>
  <dcterms:modified xsi:type="dcterms:W3CDTF">2026-09-22T14:20:25.305Z</dcterms:modified>
</cp:coreProperties>
</file>

<file path=docProps/custom.xml><?xml version="1.0" encoding="utf-8"?>
<Properties xmlns="http://schemas.openxmlformats.org/officeDocument/2006/custom-properties" xmlns:vt="http://schemas.openxmlformats.org/officeDocument/2006/docPropsVTypes"/>
</file>