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57E1D" w14:textId="77777777" w:rsidR="005B623A" w:rsidRDefault="005B623A">
      <w:pPr>
        <w:adjustRightInd/>
        <w:snapToGrid/>
        <w:spacing w:after="62" w:line="500" w:lineRule="exact"/>
        <w:ind w:firstLineChars="200" w:firstLine="562"/>
        <w:rPr>
          <w:rFonts w:ascii="宋体" w:hAnsi="宋体"/>
          <w:b/>
          <w:sz w:val="28"/>
          <w:szCs w:val="28"/>
        </w:rPr>
      </w:pPr>
    </w:p>
    <w:p w14:paraId="15E3C773" w14:textId="77777777" w:rsidR="005B623A" w:rsidRDefault="00000000">
      <w:pPr>
        <w:adjustRightInd/>
        <w:snapToGrid/>
        <w:spacing w:after="62"/>
        <w:ind w:firstLineChars="200" w:firstLine="480"/>
        <w:jc w:val="center"/>
      </w:pPr>
      <w:r>
        <w:rPr>
          <w:noProof/>
        </w:rPr>
        <w:drawing>
          <wp:inline distT="0" distB="0" distL="114300" distR="114300" wp14:anchorId="586A314A" wp14:editId="7CF1D82B">
            <wp:extent cx="2608580" cy="820420"/>
            <wp:effectExtent l="0" t="0" r="0" b="0"/>
            <wp:docPr id="1" name="图片 1" descr="青海大学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青海大学校名"/>
                    <pic:cNvPicPr>
                      <a:picLocks noChangeAspect="1"/>
                    </pic:cNvPicPr>
                  </pic:nvPicPr>
                  <pic:blipFill>
                    <a:blip r:embed="rId8"/>
                    <a:stretch>
                      <a:fillRect/>
                    </a:stretch>
                  </pic:blipFill>
                  <pic:spPr>
                    <a:xfrm>
                      <a:off x="0" y="0"/>
                      <a:ext cx="2608580" cy="820420"/>
                    </a:xfrm>
                    <a:prstGeom prst="rect">
                      <a:avLst/>
                    </a:prstGeom>
                    <a:noFill/>
                    <a:ln>
                      <a:noFill/>
                    </a:ln>
                  </pic:spPr>
                </pic:pic>
              </a:graphicData>
            </a:graphic>
          </wp:inline>
        </w:drawing>
      </w:r>
    </w:p>
    <w:p w14:paraId="5E6740FF" w14:textId="77777777" w:rsidR="005B623A" w:rsidRDefault="005B623A">
      <w:pPr>
        <w:adjustRightInd/>
        <w:snapToGrid/>
        <w:spacing w:after="62"/>
        <w:ind w:firstLineChars="200" w:firstLine="480"/>
        <w:jc w:val="center"/>
      </w:pPr>
    </w:p>
    <w:p w14:paraId="3A3555A5" w14:textId="77777777" w:rsidR="005B623A" w:rsidRDefault="00000000">
      <w:pPr>
        <w:adjustRightInd/>
        <w:snapToGrid/>
        <w:spacing w:after="62"/>
        <w:ind w:firstLineChars="200" w:firstLine="1205"/>
        <w:jc w:val="center"/>
        <w:rPr>
          <w:rFonts w:eastAsia="黑体"/>
          <w:b/>
          <w:bCs/>
          <w:sz w:val="60"/>
        </w:rPr>
      </w:pPr>
      <w:r>
        <w:rPr>
          <w:rFonts w:eastAsia="黑体" w:hint="eastAsia"/>
          <w:b/>
          <w:bCs/>
          <w:sz w:val="60"/>
        </w:rPr>
        <w:t>课程论文</w:t>
      </w:r>
    </w:p>
    <w:p w14:paraId="2B238112" w14:textId="77777777" w:rsidR="005B623A" w:rsidRDefault="005B623A">
      <w:pPr>
        <w:adjustRightInd/>
        <w:snapToGrid/>
        <w:spacing w:after="62"/>
        <w:ind w:firstLineChars="200" w:firstLine="640"/>
        <w:jc w:val="center"/>
        <w:rPr>
          <w:rFonts w:ascii="宋体" w:hAnsi="宋体"/>
          <w:sz w:val="32"/>
          <w:szCs w:val="32"/>
        </w:rPr>
      </w:pPr>
    </w:p>
    <w:p w14:paraId="0C1B591F" w14:textId="77777777" w:rsidR="005B623A" w:rsidRDefault="005B623A">
      <w:pPr>
        <w:adjustRightInd/>
        <w:snapToGrid/>
        <w:spacing w:after="62"/>
        <w:ind w:firstLineChars="200" w:firstLine="360"/>
        <w:jc w:val="center"/>
        <w:rPr>
          <w:rFonts w:ascii="宋体" w:hAnsi="宋体"/>
          <w:sz w:val="18"/>
          <w:szCs w:val="18"/>
        </w:rPr>
      </w:pPr>
    </w:p>
    <w:p w14:paraId="1036BBFA" w14:textId="77777777" w:rsidR="005B623A" w:rsidRDefault="005B623A">
      <w:pPr>
        <w:adjustRightInd/>
        <w:snapToGrid/>
        <w:spacing w:after="62"/>
        <w:ind w:firstLineChars="200" w:firstLine="482"/>
        <w:jc w:val="center"/>
        <w:rPr>
          <w:rFonts w:eastAsia="黑体"/>
          <w:b/>
        </w:rPr>
      </w:pPr>
    </w:p>
    <w:p w14:paraId="1ED624C3" w14:textId="77777777" w:rsidR="005B623A" w:rsidRDefault="005B623A">
      <w:pPr>
        <w:adjustRightInd/>
        <w:snapToGrid/>
        <w:spacing w:after="62"/>
        <w:ind w:firstLineChars="200" w:firstLine="482"/>
        <w:jc w:val="center"/>
        <w:rPr>
          <w:rFonts w:eastAsia="黑体"/>
          <w:b/>
        </w:rPr>
      </w:pPr>
    </w:p>
    <w:p w14:paraId="184D167F" w14:textId="77777777" w:rsidR="005B623A" w:rsidRDefault="005B623A">
      <w:pPr>
        <w:adjustRightInd/>
        <w:snapToGrid/>
        <w:spacing w:after="62"/>
        <w:ind w:firstLineChars="200" w:firstLine="482"/>
        <w:jc w:val="center"/>
        <w:rPr>
          <w:rFonts w:eastAsia="黑体"/>
          <w:b/>
        </w:rPr>
      </w:pPr>
    </w:p>
    <w:p w14:paraId="6064CED1" w14:textId="77777777" w:rsidR="005B623A" w:rsidRDefault="005B623A">
      <w:pPr>
        <w:adjustRightInd/>
        <w:snapToGrid/>
        <w:spacing w:after="62"/>
        <w:ind w:firstLineChars="200" w:firstLine="482"/>
        <w:jc w:val="center"/>
        <w:rPr>
          <w:rFonts w:eastAsia="黑体"/>
          <w:b/>
        </w:rPr>
      </w:pPr>
    </w:p>
    <w:p w14:paraId="165F091C" w14:textId="77777777" w:rsidR="005B623A" w:rsidRDefault="005B623A">
      <w:pPr>
        <w:adjustRightInd/>
        <w:snapToGrid/>
        <w:spacing w:after="62"/>
        <w:ind w:firstLineChars="200" w:firstLine="482"/>
        <w:jc w:val="center"/>
        <w:rPr>
          <w:rFonts w:eastAsia="黑体"/>
          <w:b/>
        </w:rPr>
      </w:pPr>
    </w:p>
    <w:p w14:paraId="56ED4133" w14:textId="77777777" w:rsidR="005B623A" w:rsidRDefault="005B623A">
      <w:pPr>
        <w:adjustRightInd/>
        <w:snapToGrid/>
        <w:spacing w:after="62"/>
        <w:ind w:firstLineChars="200" w:firstLine="482"/>
        <w:jc w:val="center"/>
        <w:rPr>
          <w:rFonts w:eastAsia="黑体"/>
          <w:b/>
        </w:rPr>
      </w:pPr>
    </w:p>
    <w:p w14:paraId="66EB2D0C" w14:textId="77777777" w:rsidR="005B623A" w:rsidRDefault="005B623A">
      <w:pPr>
        <w:adjustRightInd/>
        <w:snapToGrid/>
        <w:spacing w:after="62"/>
        <w:ind w:firstLineChars="200" w:firstLine="482"/>
        <w:jc w:val="center"/>
        <w:rPr>
          <w:rFonts w:eastAsia="黑体"/>
          <w:b/>
        </w:rPr>
      </w:pPr>
    </w:p>
    <w:p w14:paraId="672C184C" w14:textId="77777777" w:rsidR="005B623A" w:rsidRDefault="00000000">
      <w:pPr>
        <w:adjustRightInd/>
        <w:snapToGrid/>
        <w:spacing w:after="62"/>
        <w:ind w:firstLineChars="200" w:firstLine="643"/>
        <w:jc w:val="center"/>
        <w:rPr>
          <w:rFonts w:ascii="宋体" w:eastAsia="宋体" w:hAnsi="宋体" w:cs="宋体"/>
          <w:b/>
          <w:sz w:val="32"/>
          <w:szCs w:val="32"/>
        </w:rPr>
      </w:pPr>
      <w:r>
        <w:rPr>
          <w:rFonts w:ascii="宋体" w:eastAsia="宋体" w:hAnsi="宋体" w:cs="宋体" w:hint="eastAsia"/>
          <w:b/>
          <w:sz w:val="32"/>
          <w:szCs w:val="32"/>
        </w:rPr>
        <w:t>数字经济驱动</w:t>
      </w:r>
      <w:r>
        <w:rPr>
          <w:rFonts w:ascii="宋体" w:hAnsi="宋体" w:cs="宋体" w:hint="eastAsia"/>
          <w:b/>
          <w:sz w:val="32"/>
          <w:szCs w:val="32"/>
        </w:rPr>
        <w:t>黄土</w:t>
      </w:r>
      <w:r>
        <w:rPr>
          <w:rFonts w:ascii="宋体" w:eastAsia="宋体" w:hAnsi="宋体" w:cs="宋体" w:hint="eastAsia"/>
          <w:b/>
          <w:sz w:val="32"/>
          <w:szCs w:val="32"/>
        </w:rPr>
        <w:t>高原农业绿色高质量发展的机制研究</w:t>
      </w:r>
    </w:p>
    <w:p w14:paraId="21AD0DE1" w14:textId="77777777" w:rsidR="005B623A" w:rsidRDefault="00000000">
      <w:pPr>
        <w:adjustRightInd/>
        <w:snapToGrid/>
        <w:spacing w:after="62"/>
        <w:ind w:firstLineChars="200" w:firstLine="643"/>
        <w:jc w:val="center"/>
        <w:rPr>
          <w:rFonts w:ascii="宋体" w:eastAsia="宋体" w:hAnsi="宋体" w:cs="宋体"/>
          <w:b/>
          <w:sz w:val="32"/>
          <w:szCs w:val="32"/>
        </w:rPr>
      </w:pPr>
      <w:r>
        <w:rPr>
          <w:rFonts w:ascii="宋体" w:eastAsia="宋体" w:hAnsi="宋体" w:cs="宋体" w:hint="eastAsia"/>
          <w:b/>
          <w:sz w:val="32"/>
          <w:szCs w:val="32"/>
        </w:rPr>
        <w:t>—— 以陕西省榆林市为例</w:t>
      </w:r>
    </w:p>
    <w:p w14:paraId="06FA244B" w14:textId="77777777" w:rsidR="005B623A" w:rsidRDefault="005B623A">
      <w:pPr>
        <w:adjustRightInd/>
        <w:snapToGrid/>
        <w:spacing w:after="62"/>
        <w:ind w:firstLineChars="200" w:firstLine="643"/>
        <w:jc w:val="center"/>
        <w:rPr>
          <w:rFonts w:ascii="宋体" w:eastAsia="宋体" w:hAnsi="宋体" w:cs="宋体"/>
          <w:b/>
          <w:sz w:val="32"/>
          <w:szCs w:val="32"/>
        </w:rPr>
      </w:pPr>
    </w:p>
    <w:p w14:paraId="454F0386" w14:textId="77777777" w:rsidR="005B623A" w:rsidRDefault="005B623A">
      <w:pPr>
        <w:adjustRightInd/>
        <w:snapToGrid/>
        <w:spacing w:after="62"/>
        <w:rPr>
          <w:rFonts w:eastAsia="黑体"/>
          <w:b/>
        </w:rPr>
      </w:pPr>
    </w:p>
    <w:p w14:paraId="034700F4" w14:textId="77777777" w:rsidR="005B623A" w:rsidRDefault="00000000">
      <w:pPr>
        <w:adjustRightInd/>
        <w:snapToGrid/>
        <w:spacing w:after="62"/>
        <w:ind w:firstLineChars="200" w:firstLine="640"/>
        <w:rPr>
          <w:rFonts w:ascii="黑体" w:eastAsia="黑体" w:hAnsi="黑体" w:cs="黑体"/>
          <w:sz w:val="32"/>
          <w:u w:val="single"/>
        </w:rPr>
      </w:pPr>
      <w:r>
        <w:rPr>
          <w:rFonts w:eastAsia="黑体" w:hint="eastAsia"/>
          <w:sz w:val="32"/>
        </w:rPr>
        <w:t xml:space="preserve">            </w:t>
      </w:r>
      <w:r>
        <w:rPr>
          <w:rFonts w:ascii="黑体" w:eastAsia="黑体" w:hAnsi="黑体" w:cs="黑体" w:hint="eastAsia"/>
          <w:sz w:val="32"/>
        </w:rPr>
        <w:t xml:space="preserve">姓    名  </w:t>
      </w:r>
      <w:r>
        <w:rPr>
          <w:rFonts w:ascii="黑体" w:eastAsia="黑体" w:hAnsi="黑体" w:cs="黑体" w:hint="eastAsia"/>
          <w:sz w:val="32"/>
          <w:u w:val="single"/>
        </w:rPr>
        <w:t xml:space="preserve">       姚阳           </w:t>
      </w:r>
    </w:p>
    <w:p w14:paraId="55FC38E0" w14:textId="77777777" w:rsidR="005B623A" w:rsidRDefault="00000000">
      <w:pPr>
        <w:tabs>
          <w:tab w:val="left" w:pos="2160"/>
        </w:tabs>
        <w:adjustRightInd/>
        <w:snapToGrid/>
        <w:spacing w:after="62"/>
        <w:ind w:firstLineChars="200" w:firstLine="640"/>
        <w:rPr>
          <w:rFonts w:ascii="黑体" w:eastAsia="黑体" w:hAnsi="黑体" w:cs="黑体"/>
          <w:sz w:val="32"/>
          <w:u w:val="single"/>
        </w:rPr>
      </w:pPr>
      <w:r>
        <w:rPr>
          <w:rFonts w:ascii="黑体" w:eastAsia="黑体" w:hAnsi="黑体" w:cs="黑体" w:hint="eastAsia"/>
          <w:sz w:val="32"/>
        </w:rPr>
        <w:t xml:space="preserve">            学    号  </w:t>
      </w:r>
      <w:r>
        <w:rPr>
          <w:rFonts w:ascii="黑体" w:eastAsia="黑体" w:hAnsi="黑体" w:cs="黑体" w:hint="eastAsia"/>
          <w:sz w:val="32"/>
          <w:u w:val="single"/>
        </w:rPr>
        <w:t xml:space="preserve">    YS250202040017    </w:t>
      </w:r>
    </w:p>
    <w:p w14:paraId="481ED7F9" w14:textId="77777777" w:rsidR="005B623A" w:rsidRDefault="00000000">
      <w:pPr>
        <w:tabs>
          <w:tab w:val="left" w:pos="2160"/>
        </w:tabs>
        <w:adjustRightInd/>
        <w:snapToGrid/>
        <w:spacing w:after="62"/>
        <w:ind w:firstLineChars="200" w:firstLine="640"/>
        <w:rPr>
          <w:rFonts w:ascii="黑体" w:eastAsia="黑体" w:hAnsi="黑体" w:cs="黑体"/>
          <w:sz w:val="32"/>
          <w:u w:val="single"/>
        </w:rPr>
      </w:pPr>
      <w:r>
        <w:rPr>
          <w:rFonts w:ascii="黑体" w:eastAsia="黑体" w:hAnsi="黑体" w:cs="黑体" w:hint="eastAsia"/>
          <w:sz w:val="32"/>
        </w:rPr>
        <w:tab/>
      </w:r>
      <w:r>
        <w:rPr>
          <w:rFonts w:ascii="黑体" w:eastAsia="黑体" w:hAnsi="黑体" w:cs="黑体" w:hint="eastAsia"/>
          <w:sz w:val="32"/>
        </w:rPr>
        <w:tab/>
        <w:t xml:space="preserve">院    系  </w:t>
      </w:r>
      <w:r>
        <w:rPr>
          <w:rFonts w:ascii="黑体" w:eastAsia="黑体" w:hAnsi="黑体" w:cs="黑体" w:hint="eastAsia"/>
          <w:sz w:val="32"/>
          <w:u w:val="single"/>
        </w:rPr>
        <w:t xml:space="preserve">     财经学院         </w:t>
      </w:r>
    </w:p>
    <w:p w14:paraId="625039D5" w14:textId="77777777" w:rsidR="005B623A" w:rsidRDefault="00000000">
      <w:pPr>
        <w:tabs>
          <w:tab w:val="left" w:pos="2160"/>
        </w:tabs>
        <w:adjustRightInd/>
        <w:snapToGrid/>
        <w:spacing w:after="62"/>
        <w:ind w:firstLineChars="200" w:firstLine="640"/>
        <w:rPr>
          <w:rFonts w:ascii="黑体" w:eastAsia="黑体" w:hAnsi="黑体" w:cs="黑体"/>
          <w:sz w:val="32"/>
          <w:u w:val="single"/>
        </w:rPr>
        <w:sectPr w:rsidR="005B623A">
          <w:headerReference w:type="default" r:id="rId9"/>
          <w:footerReference w:type="default" r:id="rId10"/>
          <w:pgSz w:w="11906" w:h="16838"/>
          <w:pgMar w:top="1440" w:right="1286" w:bottom="1440" w:left="1800" w:header="851" w:footer="992" w:gutter="0"/>
          <w:pgNumType w:start="1"/>
          <w:cols w:space="720"/>
          <w:docGrid w:type="lines" w:linePitch="312"/>
        </w:sectPr>
      </w:pPr>
      <w:r>
        <w:rPr>
          <w:rFonts w:ascii="黑体" w:eastAsia="黑体" w:hAnsi="黑体" w:cs="黑体" w:hint="eastAsia"/>
          <w:sz w:val="32"/>
        </w:rPr>
        <w:tab/>
      </w:r>
      <w:r>
        <w:rPr>
          <w:rFonts w:ascii="黑体" w:eastAsia="黑体" w:hAnsi="黑体" w:cs="黑体" w:hint="eastAsia"/>
          <w:sz w:val="32"/>
        </w:rPr>
        <w:tab/>
        <w:t xml:space="preserve">班    级  </w:t>
      </w:r>
      <w:r>
        <w:rPr>
          <w:rFonts w:ascii="黑体" w:eastAsia="黑体" w:hAnsi="黑体" w:cs="黑体" w:hint="eastAsia"/>
          <w:sz w:val="32"/>
          <w:u w:val="single"/>
        </w:rPr>
        <w:t xml:space="preserve">   应用经济学班       </w:t>
      </w:r>
    </w:p>
    <w:p w14:paraId="3AC77A12" w14:textId="77777777" w:rsidR="005B623A" w:rsidRDefault="00000000">
      <w:pPr>
        <w:pStyle w:val="af3"/>
        <w:widowControl/>
        <w:adjustRightInd/>
        <w:snapToGrid/>
        <w:spacing w:after="62" w:line="560" w:lineRule="atLeast"/>
        <w:ind w:firstLineChars="200" w:firstLine="562"/>
        <w:rPr>
          <w:sz w:val="28"/>
          <w:szCs w:val="28"/>
        </w:rPr>
      </w:pPr>
      <w:r>
        <w:rPr>
          <w:rStyle w:val="af6"/>
          <w:rFonts w:ascii="黑体" w:eastAsia="黑体" w:hAnsi="黑体" w:cs="黑体" w:hint="eastAsia"/>
          <w:sz w:val="28"/>
          <w:szCs w:val="28"/>
        </w:rPr>
        <w:lastRenderedPageBreak/>
        <w:t xml:space="preserve">摘要:  </w:t>
      </w:r>
      <w:r>
        <w:rPr>
          <w:sz w:val="28"/>
          <w:szCs w:val="28"/>
        </w:rPr>
        <w:t>黄土高原地区农业发展长期面临资源约束强、生态环境脆弱、碳排放压力大等瓶颈制约。数字经济作为新质生产力的重要组成部分，日益受到关注。本文以榆林市为案例，利用</w:t>
      </w:r>
      <w:r>
        <w:rPr>
          <w:sz w:val="28"/>
          <w:szCs w:val="28"/>
        </w:rPr>
        <w:t>2010—2022</w:t>
      </w:r>
      <w:r>
        <w:rPr>
          <w:sz w:val="28"/>
          <w:szCs w:val="28"/>
        </w:rPr>
        <w:t>年时间序列数据，采用主成分分析（</w:t>
      </w:r>
      <w:r>
        <w:rPr>
          <w:sz w:val="28"/>
          <w:szCs w:val="28"/>
        </w:rPr>
        <w:t>PCA</w:t>
      </w:r>
      <w:r>
        <w:rPr>
          <w:sz w:val="28"/>
          <w:szCs w:val="28"/>
        </w:rPr>
        <w:t>）分别构建农业绿色高质量发展综合指数与数字经济综合指数。在样本量较小（</w:t>
      </w:r>
      <w:r>
        <w:rPr>
          <w:sz w:val="28"/>
          <w:szCs w:val="28"/>
        </w:rPr>
        <w:t>n=13</w:t>
      </w:r>
      <w:r>
        <w:rPr>
          <w:sz w:val="28"/>
          <w:szCs w:val="28"/>
        </w:rPr>
        <w:t>）的情形下，引入随机森林、梯度提升树（</w:t>
      </w:r>
      <w:proofErr w:type="spellStart"/>
      <w:r>
        <w:rPr>
          <w:sz w:val="28"/>
          <w:szCs w:val="28"/>
        </w:rPr>
        <w:t>XGBoost</w:t>
      </w:r>
      <w:proofErr w:type="spellEnd"/>
      <w:r>
        <w:rPr>
          <w:sz w:val="28"/>
          <w:szCs w:val="28"/>
        </w:rPr>
        <w:t>）和多层感知机（</w:t>
      </w:r>
      <w:r>
        <w:rPr>
          <w:sz w:val="28"/>
          <w:szCs w:val="28"/>
        </w:rPr>
        <w:t>MLP</w:t>
      </w:r>
      <w:r>
        <w:rPr>
          <w:sz w:val="28"/>
          <w:szCs w:val="28"/>
        </w:rPr>
        <w:t>）三种机器学习模型，结合留一法交叉验证（</w:t>
      </w:r>
      <w:r>
        <w:rPr>
          <w:sz w:val="28"/>
          <w:szCs w:val="28"/>
        </w:rPr>
        <w:t>LOOCV</w:t>
      </w:r>
      <w:r>
        <w:rPr>
          <w:sz w:val="28"/>
          <w:szCs w:val="28"/>
        </w:rPr>
        <w:t>）进行实证分析。结果表明：（</w:t>
      </w:r>
      <w:r>
        <w:rPr>
          <w:sz w:val="28"/>
          <w:szCs w:val="28"/>
        </w:rPr>
        <w:t>1</w:t>
      </w:r>
      <w:r>
        <w:rPr>
          <w:sz w:val="28"/>
          <w:szCs w:val="28"/>
        </w:rPr>
        <w:t>）榆林市农业绿色高质量发展指数与数字经济指数均呈现显著上升趋势，二者相关系数为</w:t>
      </w:r>
      <w:r>
        <w:rPr>
          <w:sz w:val="28"/>
          <w:szCs w:val="28"/>
        </w:rPr>
        <w:t>0.912</w:t>
      </w:r>
      <w:r>
        <w:rPr>
          <w:sz w:val="28"/>
          <w:szCs w:val="28"/>
        </w:rPr>
        <w:t>；（</w:t>
      </w:r>
      <w:r>
        <w:rPr>
          <w:sz w:val="28"/>
          <w:szCs w:val="28"/>
        </w:rPr>
        <w:t>2</w:t>
      </w:r>
      <w:r>
        <w:rPr>
          <w:sz w:val="28"/>
          <w:szCs w:val="28"/>
        </w:rPr>
        <w:t>）三种模型</w:t>
      </w:r>
      <w:r>
        <w:rPr>
          <w:sz w:val="28"/>
          <w:szCs w:val="28"/>
        </w:rPr>
        <w:t>LOOCV R²</w:t>
      </w:r>
      <w:r>
        <w:rPr>
          <w:sz w:val="28"/>
          <w:szCs w:val="28"/>
        </w:rPr>
        <w:t>分别为</w:t>
      </w:r>
      <w:r>
        <w:rPr>
          <w:sz w:val="28"/>
          <w:szCs w:val="28"/>
        </w:rPr>
        <w:t>0.873</w:t>
      </w:r>
      <w:r>
        <w:rPr>
          <w:sz w:val="28"/>
          <w:szCs w:val="28"/>
        </w:rPr>
        <w:t>、</w:t>
      </w:r>
      <w:r>
        <w:rPr>
          <w:sz w:val="28"/>
          <w:szCs w:val="28"/>
        </w:rPr>
        <w:t>0.920</w:t>
      </w:r>
      <w:r>
        <w:rPr>
          <w:sz w:val="28"/>
          <w:szCs w:val="28"/>
        </w:rPr>
        <w:t>、</w:t>
      </w:r>
      <w:r>
        <w:rPr>
          <w:sz w:val="28"/>
          <w:szCs w:val="28"/>
        </w:rPr>
        <w:t>0.905</w:t>
      </w:r>
      <w:r>
        <w:rPr>
          <w:sz w:val="28"/>
          <w:szCs w:val="28"/>
        </w:rPr>
        <w:t>，样本内拟合较好；（</w:t>
      </w:r>
      <w:r>
        <w:rPr>
          <w:sz w:val="28"/>
          <w:szCs w:val="28"/>
        </w:rPr>
        <w:t>3</w:t>
      </w:r>
      <w:r>
        <w:rPr>
          <w:sz w:val="28"/>
          <w:szCs w:val="28"/>
        </w:rPr>
        <w:t>）在多数模型中，数字经济指数对农业绿色高质量发展具有正向作用，其特征重要性在政策可干预变量中排名靠前，与传统财政补贴效果相当或略优，但不同指数构建方法与内生性处理后结果存在一定波动。研究为黄土高原生态脆弱地区探索数字经济与传统政策互补的农业绿色转型路径提供了经验参考与初步证据。</w:t>
      </w:r>
    </w:p>
    <w:p w14:paraId="11A2C847" w14:textId="77777777" w:rsidR="005B623A" w:rsidRDefault="00000000">
      <w:pPr>
        <w:pStyle w:val="af3"/>
        <w:widowControl/>
        <w:adjustRightInd/>
        <w:snapToGrid/>
        <w:spacing w:after="62" w:line="560" w:lineRule="atLeast"/>
        <w:ind w:firstLineChars="200" w:firstLine="562"/>
        <w:rPr>
          <w:rStyle w:val="af6"/>
          <w:rFonts w:ascii="黑体" w:eastAsia="黑体" w:hAnsi="黑体" w:cs="黑体"/>
          <w:sz w:val="28"/>
          <w:szCs w:val="28"/>
        </w:rPr>
      </w:pPr>
      <w:r>
        <w:rPr>
          <w:rStyle w:val="af6"/>
          <w:rFonts w:ascii="黑体" w:eastAsia="黑体" w:hAnsi="黑体" w:cs="黑体" w:hint="eastAsia"/>
          <w:sz w:val="28"/>
          <w:szCs w:val="28"/>
        </w:rPr>
        <w:t>关键词: 数字经济；农业绿色高质量发展；黄土高原；机器学习；</w:t>
      </w:r>
    </w:p>
    <w:p w14:paraId="2CEA0710" w14:textId="77777777" w:rsidR="005B623A" w:rsidRDefault="00000000">
      <w:pPr>
        <w:pStyle w:val="1"/>
        <w:spacing w:after="312"/>
        <w:rPr>
          <w:rFonts w:ascii="黑体" w:hAnsi="黑体" w:cs="黑体"/>
          <w:szCs w:val="30"/>
        </w:rPr>
      </w:pPr>
      <w:r>
        <w:rPr>
          <w:rStyle w:val="af6"/>
          <w:rFonts w:ascii="黑体" w:eastAsia="黑体" w:hAnsi="黑体" w:cs="黑体" w:hint="eastAsia"/>
          <w:b/>
          <w:szCs w:val="30"/>
        </w:rPr>
        <w:t>引言</w:t>
      </w:r>
    </w:p>
    <w:p w14:paraId="291DBE4A" w14:textId="77777777" w:rsidR="005B623A" w:rsidRDefault="00000000">
      <w:pPr>
        <w:pStyle w:val="2"/>
        <w:spacing w:after="62"/>
      </w:pPr>
      <w:r>
        <w:rPr>
          <w:rFonts w:hint="eastAsia"/>
        </w:rPr>
        <w:t>(</w:t>
      </w:r>
      <w:proofErr w:type="gramStart"/>
      <w:r>
        <w:rPr>
          <w:rFonts w:hint="eastAsia"/>
        </w:rPr>
        <w:t>一</w:t>
      </w:r>
      <w:proofErr w:type="gramEnd"/>
      <w:r>
        <w:rPr>
          <w:rFonts w:hint="eastAsia"/>
        </w:rPr>
        <w:t>)</w:t>
      </w:r>
      <w:r>
        <w:rPr>
          <w:rFonts w:hint="eastAsia"/>
        </w:rPr>
        <w:t>研究背景</w:t>
      </w:r>
    </w:p>
    <w:p w14:paraId="7519EFAD" w14:textId="77777777" w:rsidR="005B623A" w:rsidRDefault="00000000">
      <w:pPr>
        <w:pStyle w:val="af3"/>
        <w:widowControl/>
        <w:adjustRightInd/>
        <w:snapToGrid/>
        <w:spacing w:after="62" w:line="240" w:lineRule="auto"/>
        <w:ind w:firstLineChars="200" w:firstLine="560"/>
        <w:rPr>
          <w:sz w:val="28"/>
          <w:szCs w:val="28"/>
        </w:rPr>
      </w:pPr>
      <w:r>
        <w:rPr>
          <w:sz w:val="28"/>
          <w:szCs w:val="28"/>
        </w:rPr>
        <w:t>黄土高原是我国生态环境最为脆弱、农业发展约束最为突出的区域之一。该区域总面黄土高原是我国生态环境最为脆弱、农业发展约束最为突出的区域之一。该区域总面积</w:t>
      </w:r>
      <w:r>
        <w:rPr>
          <w:sz w:val="28"/>
          <w:szCs w:val="28"/>
        </w:rPr>
        <w:t>64.2</w:t>
      </w:r>
      <w:r>
        <w:rPr>
          <w:sz w:val="28"/>
          <w:szCs w:val="28"/>
        </w:rPr>
        <w:t>万平方公里，横跨青海、甘肃、宁夏、内蒙古、陕西、山西、河南七省（区），涉及</w:t>
      </w:r>
      <w:r>
        <w:rPr>
          <w:sz w:val="28"/>
          <w:szCs w:val="28"/>
        </w:rPr>
        <w:t>406</w:t>
      </w:r>
      <w:r>
        <w:rPr>
          <w:sz w:val="28"/>
          <w:szCs w:val="28"/>
        </w:rPr>
        <w:t>个县（市、区），农</w:t>
      </w:r>
      <w:r>
        <w:rPr>
          <w:sz w:val="28"/>
          <w:szCs w:val="28"/>
        </w:rPr>
        <w:lastRenderedPageBreak/>
        <w:t>业人口占比超过</w:t>
      </w:r>
      <w:r>
        <w:rPr>
          <w:sz w:val="28"/>
          <w:szCs w:val="28"/>
        </w:rPr>
        <w:t>60%</w:t>
      </w:r>
      <w:r>
        <w:rPr>
          <w:sz w:val="28"/>
          <w:szCs w:val="28"/>
        </w:rPr>
        <w:t>。长期以来，黄土高原面临严重的水土流失与资源短缺问题，年土壤侵蚀总量仍高达</w:t>
      </w:r>
      <w:r>
        <w:rPr>
          <w:sz w:val="28"/>
          <w:szCs w:val="28"/>
        </w:rPr>
        <w:t>12</w:t>
      </w:r>
      <w:r>
        <w:rPr>
          <w:sz w:val="28"/>
          <w:szCs w:val="28"/>
        </w:rPr>
        <w:t>亿吨以上，平均侵蚀模数超过</w:t>
      </w:r>
      <w:r>
        <w:rPr>
          <w:sz w:val="28"/>
          <w:szCs w:val="28"/>
        </w:rPr>
        <w:t>3000</w:t>
      </w:r>
      <w:r>
        <w:rPr>
          <w:sz w:val="28"/>
          <w:szCs w:val="28"/>
        </w:rPr>
        <w:t>吨</w:t>
      </w:r>
      <w:r>
        <w:rPr>
          <w:sz w:val="28"/>
          <w:szCs w:val="28"/>
        </w:rPr>
        <w:t>/</w:t>
      </w:r>
      <w:r>
        <w:rPr>
          <w:sz w:val="28"/>
          <w:szCs w:val="28"/>
        </w:rPr>
        <w:t>平方公里</w:t>
      </w:r>
      <w:r>
        <w:rPr>
          <w:sz w:val="28"/>
          <w:szCs w:val="28"/>
        </w:rPr>
        <w:t>·</w:t>
      </w:r>
      <w:r>
        <w:rPr>
          <w:sz w:val="28"/>
          <w:szCs w:val="28"/>
        </w:rPr>
        <w:t>年，远高于国际公认的土壤容许流失量（一般为</w:t>
      </w:r>
      <w:r>
        <w:rPr>
          <w:sz w:val="28"/>
          <w:szCs w:val="28"/>
        </w:rPr>
        <w:t>200–500</w:t>
      </w:r>
      <w:r>
        <w:rPr>
          <w:sz w:val="28"/>
          <w:szCs w:val="28"/>
        </w:rPr>
        <w:t>吨</w:t>
      </w:r>
      <w:r>
        <w:rPr>
          <w:sz w:val="28"/>
          <w:szCs w:val="28"/>
        </w:rPr>
        <w:t>/</w:t>
      </w:r>
      <w:r>
        <w:rPr>
          <w:sz w:val="28"/>
          <w:szCs w:val="28"/>
        </w:rPr>
        <w:t>平方公里</w:t>
      </w:r>
      <w:r>
        <w:rPr>
          <w:sz w:val="28"/>
          <w:szCs w:val="28"/>
        </w:rPr>
        <w:t>·</w:t>
      </w:r>
      <w:r>
        <w:rPr>
          <w:sz w:val="28"/>
          <w:szCs w:val="28"/>
        </w:rPr>
        <w:t>年）；年均降水量仅为</w:t>
      </w:r>
      <w:r>
        <w:rPr>
          <w:sz w:val="28"/>
          <w:szCs w:val="28"/>
        </w:rPr>
        <w:t>300–550</w:t>
      </w:r>
      <w:r>
        <w:rPr>
          <w:sz w:val="28"/>
          <w:szCs w:val="28"/>
        </w:rPr>
        <w:t>毫米，且时空分布极不均匀，</w:t>
      </w:r>
      <w:r>
        <w:rPr>
          <w:sz w:val="28"/>
          <w:szCs w:val="28"/>
        </w:rPr>
        <w:t>70%</w:t>
      </w:r>
      <w:r>
        <w:rPr>
          <w:sz w:val="28"/>
          <w:szCs w:val="28"/>
        </w:rPr>
        <w:t>以上集中在</w:t>
      </w:r>
      <w:r>
        <w:rPr>
          <w:sz w:val="28"/>
          <w:szCs w:val="28"/>
        </w:rPr>
        <w:t>7–9</w:t>
      </w:r>
      <w:r>
        <w:rPr>
          <w:sz w:val="28"/>
          <w:szCs w:val="28"/>
        </w:rPr>
        <w:t>月，常以暴雨形式出现，导致地表径流剧烈、土壤侵蚀加剧，而冬春季节则长期干旱少雨，水资源匮乏与地下水超采问题突出，部分地区地下水位以每年</w:t>
      </w:r>
      <w:r>
        <w:rPr>
          <w:sz w:val="28"/>
          <w:szCs w:val="28"/>
        </w:rPr>
        <w:t>0.5–1</w:t>
      </w:r>
      <w:r>
        <w:rPr>
          <w:sz w:val="28"/>
          <w:szCs w:val="28"/>
        </w:rPr>
        <w:t>米的速度下降，已形成大面积地下水漏斗区。</w:t>
      </w:r>
    </w:p>
    <w:p w14:paraId="7F0CB508" w14:textId="77777777" w:rsidR="005B623A" w:rsidRDefault="00000000">
      <w:pPr>
        <w:pStyle w:val="af3"/>
        <w:widowControl/>
        <w:adjustRightInd/>
        <w:snapToGrid/>
        <w:spacing w:after="62" w:line="240" w:lineRule="auto"/>
        <w:ind w:firstLineChars="200" w:firstLine="560"/>
        <w:rPr>
          <w:sz w:val="28"/>
          <w:szCs w:val="28"/>
        </w:rPr>
      </w:pPr>
      <w:r>
        <w:rPr>
          <w:sz w:val="28"/>
          <w:szCs w:val="28"/>
        </w:rPr>
        <w:t>在农业生产领域，黄土高原呈现化肥农药施用强度较高、灌溉用水效率较低、碳排放强度较高、绿色优质农产品比重较低、机械化与智能化水平相对滞后、农户收入相对较低的典型特征。</w:t>
      </w:r>
      <w:r>
        <w:rPr>
          <w:sz w:val="28"/>
          <w:szCs w:val="28"/>
        </w:rPr>
        <w:t>2023</w:t>
      </w:r>
      <w:r>
        <w:rPr>
          <w:sz w:val="28"/>
          <w:szCs w:val="28"/>
        </w:rPr>
        <w:t>年数据显示，该区域化肥施用强度仍高达</w:t>
      </w:r>
      <w:r>
        <w:rPr>
          <w:sz w:val="28"/>
          <w:szCs w:val="28"/>
        </w:rPr>
        <w:t>350–450</w:t>
      </w:r>
      <w:r>
        <w:rPr>
          <w:sz w:val="28"/>
          <w:szCs w:val="28"/>
        </w:rPr>
        <w:t>千克</w:t>
      </w:r>
      <w:r>
        <w:rPr>
          <w:sz w:val="28"/>
          <w:szCs w:val="28"/>
        </w:rPr>
        <w:t>/</w:t>
      </w:r>
      <w:r>
        <w:rPr>
          <w:sz w:val="28"/>
          <w:szCs w:val="28"/>
        </w:rPr>
        <w:t>公顷，显著高于全国平均水平（约</w:t>
      </w:r>
      <w:r>
        <w:rPr>
          <w:sz w:val="28"/>
          <w:szCs w:val="28"/>
        </w:rPr>
        <w:t>260</w:t>
      </w:r>
      <w:r>
        <w:rPr>
          <w:sz w:val="28"/>
          <w:szCs w:val="28"/>
        </w:rPr>
        <w:t>千克</w:t>
      </w:r>
      <w:r>
        <w:rPr>
          <w:sz w:val="28"/>
          <w:szCs w:val="28"/>
        </w:rPr>
        <w:t>/</w:t>
      </w:r>
      <w:r>
        <w:rPr>
          <w:sz w:val="28"/>
          <w:szCs w:val="28"/>
        </w:rPr>
        <w:t>公顷），农药使用量也居高不下；大水漫灌传统习惯普遍存在，灌溉水有效利用系数仅为</w:t>
      </w:r>
      <w:r>
        <w:rPr>
          <w:sz w:val="28"/>
          <w:szCs w:val="28"/>
        </w:rPr>
        <w:t>0.45–0.55</w:t>
      </w:r>
      <w:r>
        <w:rPr>
          <w:sz w:val="28"/>
          <w:szCs w:val="28"/>
        </w:rPr>
        <w:t>，远低于以色列等先进国家</w:t>
      </w:r>
      <w:r>
        <w:rPr>
          <w:sz w:val="28"/>
          <w:szCs w:val="28"/>
        </w:rPr>
        <w:t>0.8</w:t>
      </w:r>
      <w:r>
        <w:rPr>
          <w:sz w:val="28"/>
          <w:szCs w:val="28"/>
        </w:rPr>
        <w:t>以上的水平；农业碳排放强度约为全国平均的</w:t>
      </w:r>
      <w:r>
        <w:rPr>
          <w:sz w:val="28"/>
          <w:szCs w:val="28"/>
        </w:rPr>
        <w:t>1.3–1.5</w:t>
      </w:r>
      <w:r>
        <w:rPr>
          <w:sz w:val="28"/>
          <w:szCs w:val="28"/>
        </w:rPr>
        <w:t>倍，主要来源于化肥过量施用、秸秆焚烧和畜牧业甲烷排放。绿色优质农产品认证面积占比不足</w:t>
      </w:r>
      <w:r>
        <w:rPr>
          <w:sz w:val="28"/>
          <w:szCs w:val="28"/>
        </w:rPr>
        <w:t>15%</w:t>
      </w:r>
      <w:r>
        <w:rPr>
          <w:sz w:val="28"/>
          <w:szCs w:val="28"/>
        </w:rPr>
        <w:t>，多数农产品仍以大宗低值粮油为主，市场溢价能力弱；丘陵沟壑地形导致大型机械难以作业，</w:t>
      </w:r>
      <w:r>
        <w:rPr>
          <w:sz w:val="28"/>
          <w:szCs w:val="28"/>
        </w:rPr>
        <w:t>2024</w:t>
      </w:r>
      <w:r>
        <w:rPr>
          <w:sz w:val="28"/>
          <w:szCs w:val="28"/>
        </w:rPr>
        <w:t>年综合机械化率虽已提升至</w:t>
      </w:r>
      <w:r>
        <w:rPr>
          <w:sz w:val="28"/>
          <w:szCs w:val="28"/>
        </w:rPr>
        <w:t>72%</w:t>
      </w:r>
      <w:r>
        <w:rPr>
          <w:sz w:val="28"/>
          <w:szCs w:val="28"/>
        </w:rPr>
        <w:t>，但深松、免耕、精量播种等绿色机械化技术推广率仍不足</w:t>
      </w:r>
      <w:r>
        <w:rPr>
          <w:sz w:val="28"/>
          <w:szCs w:val="28"/>
        </w:rPr>
        <w:t>30%</w:t>
      </w:r>
      <w:r>
        <w:rPr>
          <w:sz w:val="28"/>
          <w:szCs w:val="28"/>
        </w:rPr>
        <w:t>；智能化水平更低，遥感监测、变量施肥、无人机植保等智慧农业技术覆盖率仅为</w:t>
      </w:r>
      <w:r>
        <w:rPr>
          <w:sz w:val="28"/>
          <w:szCs w:val="28"/>
        </w:rPr>
        <w:t>8%–12%</w:t>
      </w:r>
      <w:r>
        <w:rPr>
          <w:sz w:val="28"/>
          <w:szCs w:val="28"/>
        </w:rPr>
        <w:t>，远低于东部平原地区</w:t>
      </w:r>
      <w:r>
        <w:rPr>
          <w:sz w:val="28"/>
          <w:szCs w:val="28"/>
        </w:rPr>
        <w:t>30%</w:t>
      </w:r>
      <w:r>
        <w:rPr>
          <w:sz w:val="28"/>
          <w:szCs w:val="28"/>
        </w:rPr>
        <w:t>以上的水平。受此影响，</w:t>
      </w:r>
      <w:r>
        <w:rPr>
          <w:sz w:val="28"/>
          <w:szCs w:val="28"/>
        </w:rPr>
        <w:t>2023</w:t>
      </w:r>
      <w:r>
        <w:rPr>
          <w:sz w:val="28"/>
          <w:szCs w:val="28"/>
        </w:rPr>
        <w:t>年黄土高原地区</w:t>
      </w:r>
      <w:r>
        <w:rPr>
          <w:sz w:val="28"/>
          <w:szCs w:val="28"/>
        </w:rPr>
        <w:lastRenderedPageBreak/>
        <w:t>农村居民人均可支配收入约</w:t>
      </w:r>
      <w:r>
        <w:rPr>
          <w:sz w:val="28"/>
          <w:szCs w:val="28"/>
        </w:rPr>
        <w:t>1.55</w:t>
      </w:r>
      <w:r>
        <w:rPr>
          <w:sz w:val="28"/>
          <w:szCs w:val="28"/>
        </w:rPr>
        <w:t>万元，仅为东部沿海地区的</w:t>
      </w:r>
      <w:r>
        <w:rPr>
          <w:sz w:val="28"/>
          <w:szCs w:val="28"/>
        </w:rPr>
        <w:t>55%–60%</w:t>
      </w:r>
      <w:r>
        <w:rPr>
          <w:sz w:val="28"/>
          <w:szCs w:val="28"/>
        </w:rPr>
        <w:t>，城乡收入差距持续扩大。</w:t>
      </w:r>
    </w:p>
    <w:p w14:paraId="2589F768" w14:textId="77777777" w:rsidR="005B623A" w:rsidRDefault="00000000">
      <w:pPr>
        <w:pStyle w:val="af3"/>
        <w:widowControl/>
        <w:adjustRightInd/>
        <w:snapToGrid/>
        <w:spacing w:after="62" w:line="240" w:lineRule="auto"/>
        <w:ind w:firstLineChars="200" w:firstLine="560"/>
        <w:rPr>
          <w:sz w:val="28"/>
          <w:szCs w:val="28"/>
        </w:rPr>
      </w:pPr>
      <w:r>
        <w:rPr>
          <w:sz w:val="28"/>
          <w:szCs w:val="28"/>
        </w:rPr>
        <w:t>传统粗放型发展模式已难以适应保障粮食安全与实现生态修复的双重目标，与</w:t>
      </w:r>
      <w:r>
        <w:rPr>
          <w:sz w:val="28"/>
          <w:szCs w:val="28"/>
        </w:rPr>
        <w:t>“</w:t>
      </w:r>
      <w:r>
        <w:rPr>
          <w:sz w:val="28"/>
          <w:szCs w:val="28"/>
        </w:rPr>
        <w:t>双碳</w:t>
      </w:r>
      <w:r>
        <w:rPr>
          <w:sz w:val="28"/>
          <w:szCs w:val="28"/>
        </w:rPr>
        <w:t>”</w:t>
      </w:r>
      <w:r>
        <w:rPr>
          <w:sz w:val="28"/>
          <w:szCs w:val="28"/>
        </w:rPr>
        <w:t>战略和乡村振兴的要求存在较大差距。一方面，国家要求黄土高原地区承担约占全国</w:t>
      </w:r>
      <w:r>
        <w:rPr>
          <w:sz w:val="28"/>
          <w:szCs w:val="28"/>
        </w:rPr>
        <w:t>12%</w:t>
      </w:r>
      <w:r>
        <w:rPr>
          <w:sz w:val="28"/>
          <w:szCs w:val="28"/>
        </w:rPr>
        <w:t>的粮食生产任务，肩负维护黄河中游生态安全的重任；另一方面，</w:t>
      </w:r>
      <w:r>
        <w:rPr>
          <w:sz w:val="28"/>
          <w:szCs w:val="28"/>
        </w:rPr>
        <w:t>“</w:t>
      </w:r>
      <w:r>
        <w:rPr>
          <w:sz w:val="28"/>
          <w:szCs w:val="28"/>
        </w:rPr>
        <w:t>双碳</w:t>
      </w:r>
      <w:r>
        <w:rPr>
          <w:sz w:val="28"/>
          <w:szCs w:val="28"/>
        </w:rPr>
        <w:t>”</w:t>
      </w:r>
      <w:r>
        <w:rPr>
          <w:sz w:val="28"/>
          <w:szCs w:val="28"/>
        </w:rPr>
        <w:t>目标要求</w:t>
      </w:r>
      <w:r>
        <w:rPr>
          <w:sz w:val="28"/>
          <w:szCs w:val="28"/>
        </w:rPr>
        <w:t>2030</w:t>
      </w:r>
      <w:r>
        <w:rPr>
          <w:sz w:val="28"/>
          <w:szCs w:val="28"/>
        </w:rPr>
        <w:t>年前农业农村减</w:t>
      </w:r>
      <w:proofErr w:type="gramStart"/>
      <w:r>
        <w:rPr>
          <w:sz w:val="28"/>
          <w:szCs w:val="28"/>
        </w:rPr>
        <w:t>排固碳</w:t>
      </w:r>
      <w:proofErr w:type="gramEnd"/>
      <w:r>
        <w:rPr>
          <w:sz w:val="28"/>
          <w:szCs w:val="28"/>
        </w:rPr>
        <w:t>贡献率达到</w:t>
      </w:r>
      <w:r>
        <w:rPr>
          <w:sz w:val="28"/>
          <w:szCs w:val="28"/>
        </w:rPr>
        <w:t>20%</w:t>
      </w:r>
      <w:r>
        <w:rPr>
          <w:sz w:val="28"/>
          <w:szCs w:val="28"/>
        </w:rPr>
        <w:t>以上，而目前该区域农业碳排放总量仍呈缓慢上升态势。同时，乡村振兴战略提出产业兴旺、生态宜居、生活富裕的总要求，但粗放经营导致土壤肥力持续下降、有机质含量平均仅</w:t>
      </w:r>
      <w:r>
        <w:rPr>
          <w:sz w:val="28"/>
          <w:szCs w:val="28"/>
        </w:rPr>
        <w:t>1.2%–1.8%</w:t>
      </w:r>
      <w:r>
        <w:rPr>
          <w:sz w:val="28"/>
          <w:szCs w:val="28"/>
        </w:rPr>
        <w:t>，远低于全国</w:t>
      </w:r>
      <w:r>
        <w:rPr>
          <w:sz w:val="28"/>
          <w:szCs w:val="28"/>
        </w:rPr>
        <w:t>2.5%</w:t>
      </w:r>
      <w:r>
        <w:rPr>
          <w:sz w:val="28"/>
          <w:szCs w:val="28"/>
        </w:rPr>
        <w:t>的平均水平，若不尽快转向绿色高质量发展路径，未来</w:t>
      </w:r>
      <w:r>
        <w:rPr>
          <w:sz w:val="28"/>
          <w:szCs w:val="28"/>
        </w:rPr>
        <w:t>10–20</w:t>
      </w:r>
      <w:r>
        <w:rPr>
          <w:sz w:val="28"/>
          <w:szCs w:val="28"/>
        </w:rPr>
        <w:t>年可能出现耕地质量进一步退化、粮食单产提升空间受限、生态修复成果难以巩固的多重风险。</w:t>
      </w:r>
    </w:p>
    <w:p w14:paraId="38E5223B" w14:textId="77777777" w:rsidR="005B623A" w:rsidRDefault="00000000">
      <w:pPr>
        <w:pStyle w:val="af3"/>
        <w:widowControl/>
        <w:adjustRightInd/>
        <w:snapToGrid/>
        <w:spacing w:after="62" w:line="240" w:lineRule="auto"/>
        <w:ind w:firstLineChars="200" w:firstLine="560"/>
        <w:rPr>
          <w:sz w:val="28"/>
          <w:szCs w:val="28"/>
        </w:rPr>
      </w:pPr>
      <w:r>
        <w:rPr>
          <w:sz w:val="28"/>
          <w:szCs w:val="28"/>
        </w:rPr>
        <w:t>近年来，国家持续推进农业绿色转型与数字化发展。党的二十大报告强调加快发展数字经济、促进数字技术与实体经济深度融合；</w:t>
      </w:r>
      <w:r>
        <w:rPr>
          <w:sz w:val="28"/>
          <w:szCs w:val="28"/>
        </w:rPr>
        <w:t>2023—2025</w:t>
      </w:r>
      <w:r>
        <w:rPr>
          <w:sz w:val="28"/>
          <w:szCs w:val="28"/>
        </w:rPr>
        <w:t>年中央一号文件连续三年将</w:t>
      </w:r>
      <w:r>
        <w:rPr>
          <w:sz w:val="28"/>
          <w:szCs w:val="28"/>
        </w:rPr>
        <w:t>“</w:t>
      </w:r>
      <w:r>
        <w:rPr>
          <w:sz w:val="28"/>
          <w:szCs w:val="28"/>
        </w:rPr>
        <w:t>数字乡村建设</w:t>
      </w:r>
      <w:r>
        <w:rPr>
          <w:sz w:val="28"/>
          <w:szCs w:val="28"/>
        </w:rPr>
        <w:t>”“</w:t>
      </w:r>
      <w:r>
        <w:rPr>
          <w:sz w:val="28"/>
          <w:szCs w:val="28"/>
        </w:rPr>
        <w:t>智慧农业发展</w:t>
      </w:r>
      <w:r>
        <w:rPr>
          <w:sz w:val="28"/>
          <w:szCs w:val="28"/>
        </w:rPr>
        <w:t>”“</w:t>
      </w:r>
      <w:r>
        <w:rPr>
          <w:sz w:val="28"/>
          <w:szCs w:val="28"/>
        </w:rPr>
        <w:t>农产品电商培育</w:t>
      </w:r>
      <w:r>
        <w:rPr>
          <w:sz w:val="28"/>
          <w:szCs w:val="28"/>
        </w:rPr>
        <w:t>”</w:t>
      </w:r>
      <w:r>
        <w:rPr>
          <w:sz w:val="28"/>
          <w:szCs w:val="28"/>
        </w:rPr>
        <w:t>列为重点任务。《</w:t>
      </w:r>
      <w:r>
        <w:rPr>
          <w:sz w:val="28"/>
          <w:szCs w:val="28"/>
        </w:rPr>
        <w:t>“</w:t>
      </w:r>
      <w:r>
        <w:rPr>
          <w:sz w:val="28"/>
          <w:szCs w:val="28"/>
        </w:rPr>
        <w:t>十四五</w:t>
      </w:r>
      <w:r>
        <w:rPr>
          <w:sz w:val="28"/>
          <w:szCs w:val="28"/>
        </w:rPr>
        <w:t>”</w:t>
      </w:r>
      <w:r>
        <w:rPr>
          <w:sz w:val="28"/>
          <w:szCs w:val="28"/>
        </w:rPr>
        <w:t>推进农业农村现代化规划》《数字乡村发展战略纲要》《黄河流域生态保护和高质量发展规划纲要》等一系列文件，均将数字技术视为破解农业农村发展不平衡不充分问题、推动绿色高质量发展的重要手段。</w:t>
      </w:r>
      <w:r>
        <w:rPr>
          <w:sz w:val="28"/>
          <w:szCs w:val="28"/>
        </w:rPr>
        <w:t>2024</w:t>
      </w:r>
      <w:r>
        <w:rPr>
          <w:sz w:val="28"/>
          <w:szCs w:val="28"/>
        </w:rPr>
        <w:t>年中央一号文件进一步提出</w:t>
      </w:r>
      <w:r>
        <w:rPr>
          <w:sz w:val="28"/>
          <w:szCs w:val="28"/>
        </w:rPr>
        <w:t>“</w:t>
      </w:r>
      <w:r>
        <w:rPr>
          <w:sz w:val="28"/>
          <w:szCs w:val="28"/>
        </w:rPr>
        <w:t>实施数字农业建设工程</w:t>
      </w:r>
      <w:r>
        <w:rPr>
          <w:sz w:val="28"/>
          <w:szCs w:val="28"/>
        </w:rPr>
        <w:t>”</w:t>
      </w:r>
      <w:r>
        <w:rPr>
          <w:sz w:val="28"/>
          <w:szCs w:val="28"/>
        </w:rPr>
        <w:t>，要求在黄土高原等生态脆弱区优先布局北斗导航农机、农田遥感监测、农业农村大数据平台等项目。国家发展改革委、农业农村部联合印发的《黄土高原地区农业绿色发展实施方案（</w:t>
      </w:r>
      <w:r>
        <w:rPr>
          <w:sz w:val="28"/>
          <w:szCs w:val="28"/>
        </w:rPr>
        <w:t>2023–2030</w:t>
      </w:r>
      <w:r>
        <w:rPr>
          <w:sz w:val="28"/>
          <w:szCs w:val="28"/>
        </w:rPr>
        <w:t>年）》也明确</w:t>
      </w:r>
      <w:r>
        <w:rPr>
          <w:sz w:val="28"/>
          <w:szCs w:val="28"/>
        </w:rPr>
        <w:lastRenderedPageBreak/>
        <w:t>提出，到</w:t>
      </w:r>
      <w:r>
        <w:rPr>
          <w:sz w:val="28"/>
          <w:szCs w:val="28"/>
        </w:rPr>
        <w:t>2030</w:t>
      </w:r>
      <w:r>
        <w:rPr>
          <w:sz w:val="28"/>
          <w:szCs w:val="28"/>
        </w:rPr>
        <w:t>年该区域数字农业覆盖率要达到</w:t>
      </w:r>
      <w:r>
        <w:rPr>
          <w:sz w:val="28"/>
          <w:szCs w:val="28"/>
        </w:rPr>
        <w:t>35%</w:t>
      </w:r>
      <w:r>
        <w:rPr>
          <w:sz w:val="28"/>
          <w:szCs w:val="28"/>
        </w:rPr>
        <w:t>以上，化肥农药使用量实现负增长</w:t>
      </w:r>
      <w:r>
        <w:rPr>
          <w:sz w:val="28"/>
          <w:szCs w:val="28"/>
        </w:rPr>
        <w:t>10%</w:t>
      </w:r>
      <w:r>
        <w:rPr>
          <w:sz w:val="28"/>
          <w:szCs w:val="28"/>
        </w:rPr>
        <w:t>，灌溉水有效利用系数提升至</w:t>
      </w:r>
      <w:r>
        <w:rPr>
          <w:sz w:val="28"/>
          <w:szCs w:val="28"/>
        </w:rPr>
        <w:t>0.60</w:t>
      </w:r>
      <w:r>
        <w:rPr>
          <w:sz w:val="28"/>
          <w:szCs w:val="28"/>
        </w:rPr>
        <w:t>以上。</w:t>
      </w:r>
    </w:p>
    <w:p w14:paraId="495EF5EB" w14:textId="77777777" w:rsidR="005B623A" w:rsidRDefault="00000000">
      <w:pPr>
        <w:pStyle w:val="af3"/>
        <w:widowControl/>
        <w:adjustRightInd/>
        <w:snapToGrid/>
        <w:spacing w:after="62" w:line="240" w:lineRule="auto"/>
        <w:ind w:firstLineChars="200" w:firstLine="560"/>
        <w:rPr>
          <w:sz w:val="28"/>
          <w:szCs w:val="28"/>
        </w:rPr>
      </w:pPr>
      <w:r>
        <w:rPr>
          <w:sz w:val="28"/>
          <w:szCs w:val="28"/>
        </w:rPr>
        <w:t>在此背景下，数字经济在资源约束型地区的潜在作用日益受到学术界和政策层的重点关注。数字技术能够通过</w:t>
      </w:r>
      <w:r>
        <w:rPr>
          <w:sz w:val="28"/>
          <w:szCs w:val="28"/>
        </w:rPr>
        <w:t>“</w:t>
      </w:r>
      <w:r>
        <w:rPr>
          <w:sz w:val="28"/>
          <w:szCs w:val="28"/>
        </w:rPr>
        <w:t>以信息流带动技术流、资金流、人才流</w:t>
      </w:r>
      <w:r>
        <w:rPr>
          <w:sz w:val="28"/>
          <w:szCs w:val="28"/>
        </w:rPr>
        <w:t>”</w:t>
      </w:r>
      <w:r>
        <w:rPr>
          <w:sz w:val="28"/>
          <w:szCs w:val="28"/>
        </w:rPr>
        <w:t>配置，突破黄土高原地形破碎、交通不便、信息闭塞的天然劣势，实现精准作业、优质优价和绿色投入品高效替代，从根本上缓解</w:t>
      </w:r>
      <w:r>
        <w:rPr>
          <w:sz w:val="28"/>
          <w:szCs w:val="28"/>
        </w:rPr>
        <w:t>“</w:t>
      </w:r>
      <w:r>
        <w:rPr>
          <w:sz w:val="28"/>
          <w:szCs w:val="28"/>
        </w:rPr>
        <w:t>资源诅咒</w:t>
      </w:r>
      <w:r>
        <w:rPr>
          <w:sz w:val="28"/>
          <w:szCs w:val="28"/>
        </w:rPr>
        <w:t>”</w:t>
      </w:r>
      <w:r>
        <w:rPr>
          <w:sz w:val="28"/>
          <w:szCs w:val="28"/>
        </w:rPr>
        <w:t>与</w:t>
      </w:r>
      <w:r>
        <w:rPr>
          <w:sz w:val="28"/>
          <w:szCs w:val="28"/>
        </w:rPr>
        <w:t>“</w:t>
      </w:r>
      <w:r>
        <w:rPr>
          <w:sz w:val="28"/>
          <w:szCs w:val="28"/>
        </w:rPr>
        <w:t>生态锁死</w:t>
      </w:r>
      <w:r>
        <w:rPr>
          <w:sz w:val="28"/>
          <w:szCs w:val="28"/>
        </w:rPr>
        <w:t>”</w:t>
      </w:r>
      <w:r>
        <w:rPr>
          <w:sz w:val="28"/>
          <w:szCs w:val="28"/>
        </w:rPr>
        <w:t>困境。特别是在</w:t>
      </w:r>
      <w:r>
        <w:rPr>
          <w:sz w:val="28"/>
          <w:szCs w:val="28"/>
        </w:rPr>
        <w:t>5G</w:t>
      </w:r>
      <w:r>
        <w:rPr>
          <w:sz w:val="28"/>
          <w:szCs w:val="28"/>
        </w:rPr>
        <w:t>基站向乡村延伸、北斗高精度定位服务全覆盖、农业农村大数据平台逐步建成、农村电商和直播带货迅猛发展的当下，黄土高原具备了数字经济赋能农业绿色转型的</w:t>
      </w:r>
      <w:r>
        <w:rPr>
          <w:sz w:val="28"/>
          <w:szCs w:val="28"/>
        </w:rPr>
        <w:t>“</w:t>
      </w:r>
      <w:r>
        <w:rPr>
          <w:sz w:val="28"/>
          <w:szCs w:val="28"/>
        </w:rPr>
        <w:t>后发优势</w:t>
      </w:r>
      <w:r>
        <w:rPr>
          <w:sz w:val="28"/>
          <w:szCs w:val="28"/>
        </w:rPr>
        <w:t>”</w:t>
      </w:r>
      <w:r>
        <w:rPr>
          <w:sz w:val="28"/>
          <w:szCs w:val="28"/>
        </w:rPr>
        <w:t>和</w:t>
      </w:r>
      <w:r>
        <w:rPr>
          <w:sz w:val="28"/>
          <w:szCs w:val="28"/>
        </w:rPr>
        <w:t>“</w:t>
      </w:r>
      <w:r>
        <w:rPr>
          <w:sz w:val="28"/>
          <w:szCs w:val="28"/>
        </w:rPr>
        <w:t>换道超车</w:t>
      </w:r>
      <w:r>
        <w:rPr>
          <w:sz w:val="28"/>
          <w:szCs w:val="28"/>
        </w:rPr>
        <w:t>”</w:t>
      </w:r>
      <w:r>
        <w:rPr>
          <w:sz w:val="28"/>
          <w:szCs w:val="28"/>
        </w:rPr>
        <w:t>窗口期。探索数字经济驱动黄土高原农业绿色高质量发展的内在机制，不仅具有重要的理论价值，更对国家粮食安全、黄河流域生态保护、乡村振兴战略落地以及</w:t>
      </w:r>
      <w:r>
        <w:rPr>
          <w:sz w:val="28"/>
          <w:szCs w:val="28"/>
        </w:rPr>
        <w:t>“</w:t>
      </w:r>
      <w:r>
        <w:rPr>
          <w:sz w:val="28"/>
          <w:szCs w:val="28"/>
        </w:rPr>
        <w:t>双碳</w:t>
      </w:r>
      <w:r>
        <w:rPr>
          <w:sz w:val="28"/>
          <w:szCs w:val="28"/>
        </w:rPr>
        <w:t>”</w:t>
      </w:r>
      <w:r>
        <w:rPr>
          <w:sz w:val="28"/>
          <w:szCs w:val="28"/>
        </w:rPr>
        <w:t>目标实现具有重大的现实意义和政策参考价值。</w:t>
      </w:r>
    </w:p>
    <w:p w14:paraId="5B0D12F5" w14:textId="77777777" w:rsidR="005B623A" w:rsidRDefault="005B623A">
      <w:pPr>
        <w:pStyle w:val="af3"/>
        <w:widowControl/>
        <w:adjustRightInd/>
        <w:snapToGrid/>
        <w:spacing w:after="62" w:line="240" w:lineRule="auto"/>
        <w:ind w:firstLineChars="200" w:firstLine="480"/>
      </w:pPr>
    </w:p>
    <w:p w14:paraId="1F9D3200" w14:textId="77777777" w:rsidR="005B623A" w:rsidRDefault="00000000">
      <w:pPr>
        <w:pStyle w:val="2"/>
        <w:spacing w:after="62"/>
      </w:pPr>
      <w:r>
        <w:rPr>
          <w:rFonts w:hint="eastAsia"/>
        </w:rPr>
        <w:t>(</w:t>
      </w:r>
      <w:r>
        <w:rPr>
          <w:rFonts w:hint="eastAsia"/>
        </w:rPr>
        <w:t>二</w:t>
      </w:r>
      <w:r>
        <w:rPr>
          <w:rFonts w:hint="eastAsia"/>
        </w:rPr>
        <w:t>)</w:t>
      </w:r>
      <w:r>
        <w:rPr>
          <w:rFonts w:hint="eastAsia"/>
        </w:rPr>
        <w:t>案例选择：榆林市</w:t>
      </w:r>
    </w:p>
    <w:p w14:paraId="6C93DA2D" w14:textId="77777777" w:rsidR="005B623A" w:rsidRDefault="00000000">
      <w:pPr>
        <w:pStyle w:val="af3"/>
        <w:widowControl/>
        <w:adjustRightInd/>
        <w:snapToGrid/>
        <w:spacing w:after="62" w:line="240" w:lineRule="auto"/>
        <w:ind w:firstLineChars="200" w:firstLine="560"/>
        <w:rPr>
          <w:sz w:val="28"/>
          <w:szCs w:val="28"/>
        </w:rPr>
      </w:pPr>
      <w:r>
        <w:rPr>
          <w:sz w:val="28"/>
          <w:szCs w:val="28"/>
        </w:rPr>
        <w:t>榆林市地处黄土高原北部与毛乌素沙漠南缘交错地带，黄土丘陵沟壑区占国土面积</w:t>
      </w:r>
      <w:r>
        <w:rPr>
          <w:sz w:val="28"/>
          <w:szCs w:val="28"/>
        </w:rPr>
        <w:t>65%</w:t>
      </w:r>
      <w:r>
        <w:rPr>
          <w:sz w:val="28"/>
          <w:szCs w:val="28"/>
        </w:rPr>
        <w:t>以上，水土流失面积达</w:t>
      </w:r>
      <w:r>
        <w:rPr>
          <w:sz w:val="28"/>
          <w:szCs w:val="28"/>
        </w:rPr>
        <w:t>3.7</w:t>
      </w:r>
      <w:r>
        <w:rPr>
          <w:sz w:val="28"/>
          <w:szCs w:val="28"/>
        </w:rPr>
        <w:t>万平方公里，是黄土高原生态脆弱性的典型代表。同时，该市又是国家重要商品粮基地和陕西省粮油核心产区，兼具能源重化工基地与农业大市的双重特征。</w:t>
      </w:r>
    </w:p>
    <w:p w14:paraId="7F25E8AE" w14:textId="77777777" w:rsidR="005B623A" w:rsidRDefault="00000000">
      <w:pPr>
        <w:pStyle w:val="af3"/>
        <w:widowControl/>
        <w:adjustRightInd/>
        <w:snapToGrid/>
        <w:spacing w:after="62" w:line="240" w:lineRule="auto"/>
        <w:ind w:firstLineChars="200" w:firstLine="560"/>
        <w:rPr>
          <w:sz w:val="28"/>
          <w:szCs w:val="28"/>
        </w:rPr>
      </w:pPr>
      <w:r>
        <w:rPr>
          <w:sz w:val="28"/>
          <w:szCs w:val="28"/>
        </w:rPr>
        <w:t>2010—2022</w:t>
      </w:r>
      <w:r>
        <w:rPr>
          <w:sz w:val="28"/>
          <w:szCs w:val="28"/>
        </w:rPr>
        <w:t>年，榆林市绿色农产品产值年均增长</w:t>
      </w:r>
      <w:r>
        <w:rPr>
          <w:sz w:val="28"/>
          <w:szCs w:val="28"/>
        </w:rPr>
        <w:t>11.2%</w:t>
      </w:r>
      <w:r>
        <w:rPr>
          <w:sz w:val="28"/>
          <w:szCs w:val="28"/>
        </w:rPr>
        <w:t>，有机肥使用量、灌溉水有效利用系数、农业机械化水平均有提升，但资源环境约束依然突出。同期，农村宽带用户数、</w:t>
      </w:r>
      <w:proofErr w:type="gramStart"/>
      <w:r>
        <w:rPr>
          <w:sz w:val="28"/>
          <w:szCs w:val="28"/>
        </w:rPr>
        <w:t>农业电</w:t>
      </w:r>
      <w:proofErr w:type="gramEnd"/>
      <w:r>
        <w:rPr>
          <w:sz w:val="28"/>
          <w:szCs w:val="28"/>
        </w:rPr>
        <w:t>商交易额、智慧农业应用面积等</w:t>
      </w:r>
      <w:r>
        <w:rPr>
          <w:sz w:val="28"/>
          <w:szCs w:val="28"/>
        </w:rPr>
        <w:lastRenderedPageBreak/>
        <w:t>数字要素呈现较快增长，为考察数字经济与农业绿色发展关系提供了较为适宜的案例窗口。</w:t>
      </w:r>
    </w:p>
    <w:p w14:paraId="6C5C509F" w14:textId="77777777" w:rsidR="005B623A" w:rsidRDefault="00000000">
      <w:pPr>
        <w:pStyle w:val="2"/>
        <w:spacing w:after="62"/>
      </w:pPr>
      <w:r>
        <w:rPr>
          <w:rFonts w:hint="eastAsia"/>
        </w:rPr>
        <w:t>(</w:t>
      </w:r>
      <w:r>
        <w:rPr>
          <w:rFonts w:hint="eastAsia"/>
        </w:rPr>
        <w:t>三</w:t>
      </w:r>
      <w:r>
        <w:rPr>
          <w:rFonts w:hint="eastAsia"/>
        </w:rPr>
        <w:t>)</w:t>
      </w:r>
      <w:r>
        <w:rPr>
          <w:rFonts w:hint="eastAsia"/>
        </w:rPr>
        <w:t>研究问题</w:t>
      </w:r>
    </w:p>
    <w:p w14:paraId="2C8DD5E1" w14:textId="77777777" w:rsidR="005B623A" w:rsidRDefault="00000000">
      <w:pPr>
        <w:pStyle w:val="af3"/>
        <w:widowControl/>
        <w:adjustRightInd/>
        <w:snapToGrid/>
        <w:spacing w:after="62" w:line="240" w:lineRule="auto"/>
        <w:ind w:firstLineChars="200" w:firstLine="560"/>
        <w:rPr>
          <w:sz w:val="28"/>
          <w:szCs w:val="28"/>
        </w:rPr>
      </w:pPr>
      <w:r>
        <w:rPr>
          <w:sz w:val="28"/>
          <w:szCs w:val="28"/>
        </w:rPr>
        <w:t>黄土高原农业绿色高质量发展仍面临粮食安全与生态修复的权衡、资源高消耗与低碳目标的冲突、优质农产品供给与销售渠道的错配、传统政策工具边际效应递减等挑战。数字经济理论上可通过信息扩散、市场拓展、精准作业、基础设施支撑等路径缓解上述问题。</w:t>
      </w:r>
    </w:p>
    <w:p w14:paraId="5852E4CA" w14:textId="77777777" w:rsidR="005B623A" w:rsidRDefault="00000000">
      <w:pPr>
        <w:pStyle w:val="af3"/>
        <w:widowControl/>
        <w:adjustRightInd/>
        <w:snapToGrid/>
        <w:spacing w:after="62" w:line="240" w:lineRule="auto"/>
        <w:ind w:firstLineChars="200" w:firstLine="560"/>
        <w:rPr>
          <w:sz w:val="28"/>
          <w:szCs w:val="28"/>
        </w:rPr>
      </w:pPr>
      <w:r>
        <w:rPr>
          <w:sz w:val="28"/>
          <w:szCs w:val="28"/>
        </w:rPr>
        <w:t>然而，现有研究对黄土高原这类生态极端脆弱区的实证分析仍显不足，尤其在样本量较小、部分数据缺失较多的情况下，数字经济的实际影响强度、作用机制及其与传统财政补贴的相对效果尚缺乏系统证据。本文尝试以榆林市为案例，在有限样本约束下对上述问题进行初步探讨。</w:t>
      </w:r>
    </w:p>
    <w:p w14:paraId="7F20013B" w14:textId="77777777" w:rsidR="005B623A" w:rsidRDefault="00000000">
      <w:pPr>
        <w:pStyle w:val="2"/>
        <w:spacing w:after="62"/>
      </w:pPr>
      <w:r>
        <w:rPr>
          <w:rFonts w:hint="eastAsia"/>
        </w:rPr>
        <w:t>(</w:t>
      </w:r>
      <w:r>
        <w:rPr>
          <w:rFonts w:hint="eastAsia"/>
        </w:rPr>
        <w:t>四</w:t>
      </w:r>
      <w:r>
        <w:rPr>
          <w:rFonts w:hint="eastAsia"/>
        </w:rPr>
        <w:t>)</w:t>
      </w:r>
      <w:r>
        <w:rPr>
          <w:rFonts w:hint="eastAsia"/>
        </w:rPr>
        <w:t>研究意义</w:t>
      </w:r>
    </w:p>
    <w:p w14:paraId="09DC2B33" w14:textId="77777777" w:rsidR="005B623A" w:rsidRDefault="00000000">
      <w:pPr>
        <w:pStyle w:val="3"/>
        <w:spacing w:after="62"/>
      </w:pPr>
      <w:r>
        <w:rPr>
          <w:rFonts w:hint="eastAsia"/>
        </w:rPr>
        <w:t>1.</w:t>
      </w:r>
      <w:r>
        <w:rPr>
          <w:rFonts w:hint="eastAsia"/>
        </w:rPr>
        <w:t>理论意义</w:t>
      </w:r>
    </w:p>
    <w:p w14:paraId="5E71F341" w14:textId="77777777" w:rsidR="005B623A" w:rsidRDefault="00000000">
      <w:pPr>
        <w:pStyle w:val="af3"/>
        <w:widowControl/>
        <w:adjustRightInd/>
        <w:snapToGrid/>
        <w:spacing w:after="62" w:line="240" w:lineRule="auto"/>
        <w:ind w:firstLineChars="200" w:firstLine="560"/>
        <w:rPr>
          <w:sz w:val="28"/>
          <w:szCs w:val="28"/>
        </w:rPr>
      </w:pPr>
      <w:r>
        <w:rPr>
          <w:sz w:val="28"/>
          <w:szCs w:val="28"/>
        </w:rPr>
        <w:t>一是为黄土高原等生态脆弱区农业绿色高质量发展研究补充区域性证据；二是初步探讨数字经济在新质生产力框架下对农业领域的赋能作用；三是为小样本农业经济问题提供机器学习方法的探索性应用参考。</w:t>
      </w:r>
    </w:p>
    <w:p w14:paraId="548DF980" w14:textId="77777777" w:rsidR="005B623A" w:rsidRDefault="00000000">
      <w:pPr>
        <w:pStyle w:val="3"/>
        <w:spacing w:after="62"/>
      </w:pPr>
      <w:r>
        <w:rPr>
          <w:rFonts w:hint="eastAsia"/>
        </w:rPr>
        <w:t>2.</w:t>
      </w:r>
      <w:r>
        <w:rPr>
          <w:rFonts w:hint="eastAsia"/>
        </w:rPr>
        <w:t>实践意义</w:t>
      </w:r>
    </w:p>
    <w:p w14:paraId="65A98B20" w14:textId="77777777" w:rsidR="005B623A" w:rsidRDefault="00000000">
      <w:pPr>
        <w:pStyle w:val="af3"/>
        <w:widowControl/>
        <w:adjustRightInd/>
        <w:snapToGrid/>
        <w:spacing w:after="62" w:line="240" w:lineRule="auto"/>
        <w:ind w:firstLineChars="200" w:firstLine="560"/>
        <w:rPr>
          <w:sz w:val="28"/>
          <w:szCs w:val="28"/>
        </w:rPr>
      </w:pPr>
      <w:r>
        <w:rPr>
          <w:sz w:val="28"/>
          <w:szCs w:val="28"/>
        </w:rPr>
        <w:t>一是有助于认识数字经济在资源约束型地区农业转型中的潜在作用；二是为地方政府优化政策工具组合、探索传统政策与数字赋能的互补路径提供经验参考；三是为国家数字乡村战略在黄土高原等类似区域的实施评估积累案例素材。</w:t>
      </w:r>
    </w:p>
    <w:p w14:paraId="344B2C7B" w14:textId="77777777" w:rsidR="005B623A" w:rsidRDefault="00000000">
      <w:pPr>
        <w:pStyle w:val="2"/>
        <w:spacing w:after="62"/>
      </w:pPr>
      <w:r>
        <w:rPr>
          <w:rFonts w:hint="eastAsia"/>
        </w:rPr>
        <w:lastRenderedPageBreak/>
        <w:t>(</w:t>
      </w:r>
      <w:r>
        <w:rPr>
          <w:rFonts w:hint="eastAsia"/>
        </w:rPr>
        <w:t>五</w:t>
      </w:r>
      <w:r>
        <w:rPr>
          <w:rFonts w:hint="eastAsia"/>
        </w:rPr>
        <w:t>)</w:t>
      </w:r>
      <w:r>
        <w:t>研究目标与内容</w:t>
      </w:r>
    </w:p>
    <w:p w14:paraId="42F64D11" w14:textId="77777777" w:rsidR="005B623A" w:rsidRDefault="00000000">
      <w:pPr>
        <w:pStyle w:val="3"/>
        <w:spacing w:after="62"/>
      </w:pPr>
      <w:r>
        <w:rPr>
          <w:rFonts w:hint="eastAsia"/>
        </w:rPr>
        <w:t>1.</w:t>
      </w:r>
      <w:r>
        <w:rPr>
          <w:rFonts w:hint="eastAsia"/>
        </w:rPr>
        <w:t>研究目标</w:t>
      </w:r>
    </w:p>
    <w:p w14:paraId="7DF74B9B" w14:textId="77777777" w:rsidR="005B623A" w:rsidRDefault="00000000">
      <w:pPr>
        <w:pStyle w:val="af3"/>
        <w:widowControl/>
        <w:adjustRightInd/>
        <w:snapToGrid/>
        <w:spacing w:after="62" w:line="240" w:lineRule="auto"/>
        <w:ind w:firstLineChars="200" w:firstLine="560"/>
        <w:rPr>
          <w:sz w:val="28"/>
          <w:szCs w:val="28"/>
        </w:rPr>
      </w:pPr>
      <w:r>
        <w:rPr>
          <w:sz w:val="28"/>
          <w:szCs w:val="28"/>
        </w:rPr>
        <w:t>在小样本条件下，考察榆林</w:t>
      </w:r>
      <w:proofErr w:type="gramStart"/>
      <w:r>
        <w:rPr>
          <w:sz w:val="28"/>
          <w:szCs w:val="28"/>
        </w:rPr>
        <w:t>市数字</w:t>
      </w:r>
      <w:proofErr w:type="gramEnd"/>
      <w:r>
        <w:rPr>
          <w:sz w:val="28"/>
          <w:szCs w:val="28"/>
        </w:rPr>
        <w:t>经济水平与农业绿色高质量发展之间的关联，初步比较数字经济与传统财政补贴的相对重要性，为黄土高原地区相关政策制定提供参考。</w:t>
      </w:r>
    </w:p>
    <w:p w14:paraId="131C6FA0" w14:textId="77777777" w:rsidR="005B623A" w:rsidRDefault="00000000">
      <w:pPr>
        <w:pStyle w:val="3"/>
        <w:spacing w:after="62"/>
      </w:pPr>
      <w:r>
        <w:rPr>
          <w:rFonts w:hint="eastAsia"/>
        </w:rPr>
        <w:t>2.</w:t>
      </w:r>
      <w:r>
        <w:rPr>
          <w:rFonts w:hint="eastAsia"/>
        </w:rPr>
        <w:t>研究内容</w:t>
      </w:r>
    </w:p>
    <w:p w14:paraId="44F2F968" w14:textId="77777777" w:rsidR="005B623A" w:rsidRDefault="00000000">
      <w:pPr>
        <w:pStyle w:val="af3"/>
        <w:widowControl/>
        <w:adjustRightInd/>
        <w:snapToGrid/>
        <w:spacing w:after="62" w:line="240" w:lineRule="auto"/>
        <w:ind w:firstLineChars="200" w:firstLine="560"/>
      </w:pPr>
      <w:r>
        <w:rPr>
          <w:rFonts w:ascii="宋体" w:eastAsia="宋体" w:hAnsi="宋体" w:cs="宋体" w:hint="eastAsia"/>
          <w:sz w:val="28"/>
          <w:szCs w:val="28"/>
        </w:rPr>
        <w:t>（1）描述榆林市2010—2022年农业绿色高质量发展与数字经济发展的基本事实；（2）构建相应综合指数；（3）采用机器学习方法分析数字经济的影响；（4）通过稳健性检验评估结果可靠性；（5）结合研究局限提出政策建议。</w:t>
      </w:r>
    </w:p>
    <w:p w14:paraId="3856F209" w14:textId="77777777" w:rsidR="005B623A" w:rsidRDefault="00000000">
      <w:pPr>
        <w:pStyle w:val="3"/>
        <w:spacing w:after="62"/>
      </w:pPr>
      <w:r>
        <w:rPr>
          <w:rFonts w:hint="eastAsia"/>
        </w:rPr>
        <w:t>3.</w:t>
      </w:r>
      <w:r>
        <w:rPr>
          <w:rFonts w:hint="eastAsia"/>
        </w:rPr>
        <w:t>研究局限与展望</w:t>
      </w:r>
    </w:p>
    <w:p w14:paraId="7A900248" w14:textId="77777777" w:rsidR="005B623A" w:rsidRDefault="00000000">
      <w:pPr>
        <w:pStyle w:val="af3"/>
        <w:widowControl/>
        <w:adjustRightInd/>
        <w:snapToGrid/>
        <w:spacing w:after="62" w:line="240" w:lineRule="auto"/>
        <w:ind w:firstLineChars="200" w:firstLine="560"/>
        <w:rPr>
          <w:sz w:val="28"/>
          <w:szCs w:val="28"/>
        </w:rPr>
      </w:pPr>
      <w:r>
        <w:rPr>
          <w:sz w:val="28"/>
          <w:szCs w:val="28"/>
        </w:rPr>
        <w:t>本文样本量较小（</w:t>
      </w:r>
      <w:r>
        <w:rPr>
          <w:sz w:val="28"/>
          <w:szCs w:val="28"/>
        </w:rPr>
        <w:t>n=13</w:t>
      </w:r>
      <w:r>
        <w:rPr>
          <w:sz w:val="28"/>
          <w:szCs w:val="28"/>
        </w:rPr>
        <w:t>），部分关键变量存在较多年份缺失，机器学习特征重要性在</w:t>
      </w:r>
      <w:proofErr w:type="gramStart"/>
      <w:r>
        <w:rPr>
          <w:sz w:val="28"/>
          <w:szCs w:val="28"/>
        </w:rPr>
        <w:t>强时间</w:t>
      </w:r>
      <w:proofErr w:type="gramEnd"/>
      <w:r>
        <w:rPr>
          <w:sz w:val="28"/>
          <w:szCs w:val="28"/>
        </w:rPr>
        <w:t>趋势数据下可能存在高估风险，结论仅具探索性。未来研究可扩展至黄土高原多地市面板，或引入外生政策冲击进行更严格的因果识别。</w:t>
      </w:r>
    </w:p>
    <w:p w14:paraId="01B47B26" w14:textId="77777777" w:rsidR="005B623A" w:rsidRDefault="00000000">
      <w:pPr>
        <w:pStyle w:val="1"/>
        <w:spacing w:after="312"/>
      </w:pPr>
      <w:r>
        <w:rPr>
          <w:rStyle w:val="af6"/>
          <w:b/>
          <w:szCs w:val="30"/>
        </w:rPr>
        <w:t>文献综述与理论基础</w:t>
      </w:r>
    </w:p>
    <w:p w14:paraId="03E4FF01" w14:textId="77777777" w:rsidR="005B623A" w:rsidRDefault="00000000">
      <w:pPr>
        <w:pStyle w:val="2"/>
        <w:spacing w:after="62"/>
      </w:pPr>
      <w:r>
        <w:rPr>
          <w:rFonts w:hint="eastAsia"/>
        </w:rPr>
        <w:t>（一）农业绿色高质量发展的相关研究</w:t>
      </w:r>
    </w:p>
    <w:p w14:paraId="03178490"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1．内涵与维度 农业绿色高质量发展是将绿色发展理念融入农业高质量发展而形成的复合概念（刘涛等，2021）。尹朝静和李谷成（2022）将其分解为资源利用高效化、环境影响低碳化、生产过程清洁化、产品质量</w:t>
      </w:r>
      <w:r>
        <w:rPr>
          <w:rFonts w:ascii="宋体" w:eastAsia="宋体" w:hAnsi="宋体" w:cs="宋体" w:hint="eastAsia"/>
          <w:sz w:val="28"/>
          <w:szCs w:val="28"/>
        </w:rPr>
        <w:lastRenderedPageBreak/>
        <w:t>优质化以及农民收入可持续化五个维度。该概念已上升为国家战略（中共中央、国务院，2021）。</w:t>
      </w:r>
    </w:p>
    <w:p w14:paraId="38453F73"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2．测度方法 现有研究主要采用三类方法：（1）熵值法与TOPSIS（</w:t>
      </w:r>
      <w:proofErr w:type="gramStart"/>
      <w:r>
        <w:rPr>
          <w:rFonts w:ascii="宋体" w:eastAsia="宋体" w:hAnsi="宋体" w:cs="宋体" w:hint="eastAsia"/>
          <w:sz w:val="28"/>
          <w:szCs w:val="28"/>
        </w:rPr>
        <w:t>赵会杰等</w:t>
      </w:r>
      <w:proofErr w:type="gramEnd"/>
      <w:r>
        <w:rPr>
          <w:rFonts w:ascii="宋体" w:eastAsia="宋体" w:hAnsi="宋体" w:cs="宋体" w:hint="eastAsia"/>
          <w:sz w:val="28"/>
          <w:szCs w:val="28"/>
        </w:rPr>
        <w:t>，2021）；（2）考虑非期望产出的SBM-DEA超效率模型（李谷成等，2022）；（3）主成分分析法（尹朝静等，2022）。本文参考后两种方法构建综合指数。</w:t>
      </w:r>
    </w:p>
    <w:p w14:paraId="53A003BC"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3．驱动因素 实证研究表明，技术进步（张晓颖等，2023）、财政补贴与减量化行动（</w:t>
      </w:r>
      <w:proofErr w:type="gramStart"/>
      <w:r>
        <w:rPr>
          <w:rFonts w:ascii="宋体" w:eastAsia="宋体" w:hAnsi="宋体" w:cs="宋体" w:hint="eastAsia"/>
          <w:sz w:val="28"/>
          <w:szCs w:val="28"/>
        </w:rPr>
        <w:t>申云等</w:t>
      </w:r>
      <w:proofErr w:type="gramEnd"/>
      <w:r>
        <w:rPr>
          <w:rFonts w:ascii="宋体" w:eastAsia="宋体" w:hAnsi="宋体" w:cs="宋体" w:hint="eastAsia"/>
          <w:sz w:val="28"/>
          <w:szCs w:val="28"/>
        </w:rPr>
        <w:t>，2023）、人力资本与土地规模经营（李雪等，2022）均对农业绿色发展产生正向影响。但现有文献较少将数字经济作为独立驱动因素纳入分析框架。</w:t>
      </w:r>
    </w:p>
    <w:p w14:paraId="3CBC2EE5" w14:textId="77777777" w:rsidR="005B623A" w:rsidRDefault="00000000">
      <w:pPr>
        <w:pStyle w:val="2"/>
        <w:spacing w:after="62"/>
      </w:pPr>
      <w:r>
        <w:rPr>
          <w:rFonts w:hint="eastAsia"/>
        </w:rPr>
        <w:t>（二）数字经济对农业农村发展的影响研究</w:t>
      </w:r>
    </w:p>
    <w:p w14:paraId="1A5FDABD"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1．内涵与测度 数字经济以数字技术为关键生产要素、以现代信息网络为载体、以数据为关键生产资料（刘涛，2020）。国家统计局（2021）将其分为数字产业化与产业数字化两部分。裴长洪等（2022）构建的四维度指数（基础设施、产业化、数字化、治理）为本文提供了参考。</w:t>
      </w:r>
    </w:p>
    <w:p w14:paraId="6A574C70"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2．总体影响 国际研究显示，电商接入可提升农村家庭收入12%–18%（Couture et al., 2021），移动通信降低粮食价格波动20%（Aker, 2011）。国内研究证实，互联网使用促进农村创业（唐要家等，2022），数字经济显著推动农业农村现代化（陈伟等，2023）。</w:t>
      </w:r>
    </w:p>
    <w:p w14:paraId="321C6557"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3．对农业绿色发展的影响路径 现有文献初步识别出四条路径：（1）信息获取与技术扩散（唐要家等，2022）；（2）市场渠道拓展与优质优价（李怡等，2023）；（3）智慧农业精准作业降低投入品使用10%–30%</w:t>
      </w:r>
      <w:r>
        <w:rPr>
          <w:rFonts w:ascii="宋体" w:eastAsia="宋体" w:hAnsi="宋体" w:cs="宋体" w:hint="eastAsia"/>
          <w:sz w:val="28"/>
          <w:szCs w:val="28"/>
        </w:rPr>
        <w:lastRenderedPageBreak/>
        <w:t>（Finger et al., 2019；张舰等，2024）；（4）资源配置优化（吴比等，2023）。</w:t>
      </w:r>
    </w:p>
    <w:p w14:paraId="06688FBA" w14:textId="77777777" w:rsidR="005B623A" w:rsidRDefault="00000000">
      <w:pPr>
        <w:pStyle w:val="2"/>
        <w:spacing w:after="62"/>
      </w:pPr>
      <w:r>
        <w:rPr>
          <w:rFonts w:hint="eastAsia"/>
        </w:rPr>
        <w:t>（三）机器学习在农业经济学中的应用</w:t>
      </w:r>
    </w:p>
    <w:p w14:paraId="745E933B"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 xml:space="preserve">Athey and </w:t>
      </w:r>
      <w:proofErr w:type="spellStart"/>
      <w:r>
        <w:rPr>
          <w:rFonts w:ascii="宋体" w:eastAsia="宋体" w:hAnsi="宋体" w:cs="宋体" w:hint="eastAsia"/>
          <w:sz w:val="28"/>
          <w:szCs w:val="28"/>
        </w:rPr>
        <w:t>Imbens</w:t>
      </w:r>
      <w:proofErr w:type="spellEnd"/>
      <w:r>
        <w:rPr>
          <w:rFonts w:ascii="宋体" w:eastAsia="宋体" w:hAnsi="宋体" w:cs="宋体" w:hint="eastAsia"/>
          <w:sz w:val="28"/>
          <w:szCs w:val="28"/>
        </w:rPr>
        <w:t>（2019）指出，机器学习在小样本、非线性、高维变量场景中具有比较优势。随机森林（</w:t>
      </w:r>
      <w:proofErr w:type="spellStart"/>
      <w:r>
        <w:rPr>
          <w:rFonts w:ascii="宋体" w:eastAsia="宋体" w:hAnsi="宋体" w:cs="宋体" w:hint="eastAsia"/>
          <w:sz w:val="28"/>
          <w:szCs w:val="28"/>
        </w:rPr>
        <w:t>Breiman</w:t>
      </w:r>
      <w:proofErr w:type="spellEnd"/>
      <w:r>
        <w:rPr>
          <w:rFonts w:ascii="宋体" w:eastAsia="宋体" w:hAnsi="宋体" w:cs="宋体" w:hint="eastAsia"/>
          <w:sz w:val="28"/>
          <w:szCs w:val="28"/>
        </w:rPr>
        <w:t>, 2001）、</w:t>
      </w:r>
      <w:proofErr w:type="spellStart"/>
      <w:r>
        <w:rPr>
          <w:rFonts w:ascii="宋体" w:eastAsia="宋体" w:hAnsi="宋体" w:cs="宋体" w:hint="eastAsia"/>
          <w:sz w:val="28"/>
          <w:szCs w:val="28"/>
        </w:rPr>
        <w:t>XGBoost</w:t>
      </w:r>
      <w:proofErr w:type="spellEnd"/>
      <w:r>
        <w:rPr>
          <w:rFonts w:ascii="宋体" w:eastAsia="宋体" w:hAnsi="宋体" w:cs="宋体" w:hint="eastAsia"/>
          <w:sz w:val="28"/>
          <w:szCs w:val="28"/>
        </w:rPr>
        <w:t xml:space="preserve">（Chen and </w:t>
      </w:r>
      <w:proofErr w:type="spellStart"/>
      <w:r>
        <w:rPr>
          <w:rFonts w:ascii="宋体" w:eastAsia="宋体" w:hAnsi="宋体" w:cs="宋体" w:hint="eastAsia"/>
          <w:sz w:val="28"/>
          <w:szCs w:val="28"/>
        </w:rPr>
        <w:t>Guestrin</w:t>
      </w:r>
      <w:proofErr w:type="spellEnd"/>
      <w:r>
        <w:rPr>
          <w:rFonts w:ascii="宋体" w:eastAsia="宋体" w:hAnsi="宋体" w:cs="宋体" w:hint="eastAsia"/>
          <w:sz w:val="28"/>
          <w:szCs w:val="28"/>
        </w:rPr>
        <w:t>, 2016）以及多层感知机已在作物产量预测、碳排放估算、土地利用驱动因素识别等领域得到应用（李雪等，2022；</w:t>
      </w:r>
      <w:proofErr w:type="gramStart"/>
      <w:r>
        <w:rPr>
          <w:rFonts w:ascii="宋体" w:eastAsia="宋体" w:hAnsi="宋体" w:cs="宋体" w:hint="eastAsia"/>
          <w:sz w:val="28"/>
          <w:szCs w:val="28"/>
        </w:rPr>
        <w:t>刘湖等</w:t>
      </w:r>
      <w:proofErr w:type="gramEnd"/>
      <w:r>
        <w:rPr>
          <w:rFonts w:ascii="宋体" w:eastAsia="宋体" w:hAnsi="宋体" w:cs="宋体" w:hint="eastAsia"/>
          <w:sz w:val="28"/>
          <w:szCs w:val="28"/>
        </w:rPr>
        <w:t>，2023）。但尚未</w:t>
      </w:r>
      <w:proofErr w:type="gramStart"/>
      <w:r>
        <w:rPr>
          <w:rFonts w:ascii="宋体" w:eastAsia="宋体" w:hAnsi="宋体" w:cs="宋体" w:hint="eastAsia"/>
          <w:sz w:val="28"/>
          <w:szCs w:val="28"/>
        </w:rPr>
        <w:t>见同时</w:t>
      </w:r>
      <w:proofErr w:type="gramEnd"/>
      <w:r>
        <w:rPr>
          <w:rFonts w:ascii="宋体" w:eastAsia="宋体" w:hAnsi="宋体" w:cs="宋体" w:hint="eastAsia"/>
          <w:sz w:val="28"/>
          <w:szCs w:val="28"/>
        </w:rPr>
        <w:t>使用三种模型考察数字经济与农业绿色高质量发展关系的研究。</w:t>
      </w:r>
    </w:p>
    <w:p w14:paraId="6B433544" w14:textId="77777777" w:rsidR="005B623A" w:rsidRDefault="00000000">
      <w:pPr>
        <w:pStyle w:val="2"/>
        <w:spacing w:after="62"/>
      </w:pPr>
      <w:r>
        <w:rPr>
          <w:rFonts w:hint="eastAsia"/>
        </w:rPr>
        <w:t>（四）黄土高原农业绿色发展的特殊性</w:t>
      </w:r>
    </w:p>
    <w:p w14:paraId="0C5F7535"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proofErr w:type="gramStart"/>
      <w:r>
        <w:rPr>
          <w:rFonts w:ascii="宋体" w:eastAsia="宋体" w:hAnsi="宋体" w:cs="宋体" w:hint="eastAsia"/>
          <w:sz w:val="28"/>
          <w:szCs w:val="28"/>
        </w:rPr>
        <w:t>赵会杰等</w:t>
      </w:r>
      <w:proofErr w:type="gramEnd"/>
      <w:r>
        <w:rPr>
          <w:rFonts w:ascii="宋体" w:eastAsia="宋体" w:hAnsi="宋体" w:cs="宋体" w:hint="eastAsia"/>
          <w:sz w:val="28"/>
          <w:szCs w:val="28"/>
        </w:rPr>
        <w:t>（2021）发现黄土高原农业绿色全要素生产率显著低于全国平均水平，主要受水土流失与干旱制约。何骥等（2022）指出该区域化肥农药减量化潜力较大，但技术扩散缓慢。现有研究较少关注数字经济在该类生态约束下的作用。</w:t>
      </w:r>
    </w:p>
    <w:p w14:paraId="45201D56" w14:textId="77777777" w:rsidR="005B623A" w:rsidRDefault="00000000">
      <w:pPr>
        <w:pStyle w:val="2"/>
        <w:spacing w:after="62"/>
      </w:pPr>
      <w:r>
        <w:rPr>
          <w:rFonts w:hint="eastAsia"/>
        </w:rPr>
        <w:t>（五）文献评述</w:t>
      </w:r>
    </w:p>
    <w:p w14:paraId="7C125716"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现有研究存在以下不足：</w:t>
      </w:r>
    </w:p>
    <w:p w14:paraId="66A3E7F1"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t>区域覆盖以东部和主产区为主，对黄土高原生态脆弱</w:t>
      </w:r>
      <w:proofErr w:type="gramStart"/>
      <w:r>
        <w:rPr>
          <w:rFonts w:ascii="宋体" w:eastAsia="宋体" w:hAnsi="宋体" w:cs="宋体" w:hint="eastAsia"/>
          <w:sz w:val="28"/>
          <w:szCs w:val="28"/>
        </w:rPr>
        <w:t>区关注</w:t>
      </w:r>
      <w:proofErr w:type="gramEnd"/>
      <w:r>
        <w:rPr>
          <w:rFonts w:ascii="宋体" w:eastAsia="宋体" w:hAnsi="宋体" w:cs="宋体" w:hint="eastAsia"/>
          <w:sz w:val="28"/>
          <w:szCs w:val="28"/>
        </w:rPr>
        <w:t>不足；数字经济多作为控制变量而非核心解释变量；小样本条件下传统计量方法易出现自由度不足与过拟合问题，机器学习应用较少；缺乏数字经济与传统财政补贴的直接效果比较。</w:t>
      </w:r>
    </w:p>
    <w:p w14:paraId="3905F99E" w14:textId="77777777" w:rsidR="005B623A" w:rsidRDefault="00000000">
      <w:pPr>
        <w:pStyle w:val="af3"/>
        <w:widowControl/>
        <w:adjustRightInd/>
        <w:snapToGrid/>
        <w:spacing w:after="62" w:line="240" w:lineRule="auto"/>
        <w:ind w:firstLineChars="200" w:firstLine="560"/>
        <w:rPr>
          <w:rFonts w:ascii="宋体" w:eastAsia="宋体" w:hAnsi="宋体" w:cs="宋体"/>
          <w:sz w:val="28"/>
          <w:szCs w:val="28"/>
        </w:rPr>
      </w:pPr>
      <w:r>
        <w:rPr>
          <w:rFonts w:ascii="宋体" w:eastAsia="宋体" w:hAnsi="宋体" w:cs="宋体" w:hint="eastAsia"/>
          <w:sz w:val="28"/>
          <w:szCs w:val="28"/>
        </w:rPr>
        <w:lastRenderedPageBreak/>
        <w:t>本文在以下方面进行补充：以榆林市为案例，构建综合指数，采用机器学习方法在小样本条件下考察数字经济的作用，并初步比较其与传统补贴的相对重要性。</w:t>
      </w:r>
    </w:p>
    <w:p w14:paraId="3545FFE9" w14:textId="77777777" w:rsidR="005B623A" w:rsidRDefault="00000000">
      <w:pPr>
        <w:pStyle w:val="2"/>
        <w:spacing w:after="62"/>
      </w:pPr>
      <w:r>
        <w:rPr>
          <w:rFonts w:hint="eastAsia"/>
        </w:rPr>
        <w:t>（六）理论基础</w:t>
      </w:r>
    </w:p>
    <w:p w14:paraId="59775B7E"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1．诱致性技术变迁理论（Hayami and Ruttan, 1985） 在要素相对价格变化下，农户会诱致节约稀缺要素的技术变革。黄土高原传统要素稀缺而数据要素相对丰裕，数字经济降低绿色技术采用成本，从而诱致技术变迁。</w:t>
      </w:r>
    </w:p>
    <w:p w14:paraId="52FDE669"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2．信息不对称理论（Stiglitz, 2000；Aker, 2011） 数字经济通过降低信息搜寻与交易成本，缓解农村信息闭塞问题，促进绿色技术扩散与优质优价实现。</w:t>
      </w:r>
    </w:p>
    <w:p w14:paraId="717D2AB9"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3．交易成本理论（Coase, 1937；Williamson, 1985） 物联网、大数据、区块链等技术降低农业</w:t>
      </w:r>
      <w:proofErr w:type="gramStart"/>
      <w:r>
        <w:rPr>
          <w:rFonts w:ascii="宋体" w:eastAsia="宋体" w:hAnsi="宋体" w:cs="宋体" w:hint="eastAsia"/>
          <w:sz w:val="28"/>
          <w:szCs w:val="28"/>
        </w:rPr>
        <w:t>产业链各环节</w:t>
      </w:r>
      <w:proofErr w:type="gramEnd"/>
      <w:r>
        <w:rPr>
          <w:rFonts w:ascii="宋体" w:eastAsia="宋体" w:hAnsi="宋体" w:cs="宋体" w:hint="eastAsia"/>
          <w:sz w:val="28"/>
          <w:szCs w:val="28"/>
        </w:rPr>
        <w:t>交易与监督成本，提升资源配置效率。</w:t>
      </w:r>
    </w:p>
    <w:p w14:paraId="69DD0094"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4．新质生产力理论 数字技术与数据要素深度融合构成农业领域新质生产力的重要体现（习近</w:t>
      </w:r>
      <w:proofErr w:type="gramStart"/>
      <w:r>
        <w:rPr>
          <w:rFonts w:ascii="宋体" w:eastAsia="宋体" w:hAnsi="宋体" w:cs="宋体" w:hint="eastAsia"/>
          <w:sz w:val="28"/>
          <w:szCs w:val="28"/>
        </w:rPr>
        <w:t>平相关</w:t>
      </w:r>
      <w:proofErr w:type="gramEnd"/>
      <w:r>
        <w:rPr>
          <w:rFonts w:ascii="宋体" w:eastAsia="宋体" w:hAnsi="宋体" w:cs="宋体" w:hint="eastAsia"/>
          <w:sz w:val="28"/>
          <w:szCs w:val="28"/>
        </w:rPr>
        <w:t>论述，2023—2025）。</w:t>
      </w:r>
    </w:p>
    <w:p w14:paraId="5E6C13E4" w14:textId="77777777" w:rsidR="005B623A" w:rsidRDefault="00000000">
      <w:pPr>
        <w:pStyle w:val="1"/>
        <w:spacing w:after="312"/>
        <w:rPr>
          <w:rStyle w:val="af6"/>
          <w:rFonts w:ascii="黑体" w:eastAsia="黑体" w:hAnsi="黑体" w:cs="黑体"/>
          <w:b/>
          <w:szCs w:val="30"/>
        </w:rPr>
      </w:pPr>
      <w:r>
        <w:rPr>
          <w:rStyle w:val="af6"/>
          <w:rFonts w:ascii="黑体" w:eastAsia="黑体" w:hAnsi="黑体" w:cs="黑体" w:hint="eastAsia"/>
          <w:b/>
          <w:szCs w:val="30"/>
        </w:rPr>
        <w:t>数字经济影响农业绿色高质量发展的理论机制与研究假设</w:t>
      </w:r>
    </w:p>
    <w:p w14:paraId="734401C5" w14:textId="77777777" w:rsidR="005B623A" w:rsidRDefault="00000000">
      <w:pPr>
        <w:pStyle w:val="2"/>
        <w:spacing w:after="62"/>
      </w:pPr>
      <w:r>
        <w:rPr>
          <w:rFonts w:hint="eastAsia"/>
        </w:rPr>
        <w:t>（一）理论机制</w:t>
      </w:r>
    </w:p>
    <w:p w14:paraId="1304CAA5"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数字经济通过多维度、多层次路径影响农业绿色高质量发展。在黄土高原资源约束强、生态脆弱的特定背景下，四条主要路径如下，且相互交织、协同强化，形成正反馈循环。</w:t>
      </w:r>
    </w:p>
    <w:p w14:paraId="39DEDAF5"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lastRenderedPageBreak/>
        <w:t>1．信息获取与技术扩散路径 农村宽带、5G基站与移动互联网大幅降低农户获取绿色生产技术的搜寻成本与学习成本（Aker, 2011；唐要家等，2022）。在黄土高原信息相对闭塞、地块分散的条件下，该路径可加速有机肥替代化肥、测土配方施肥、绿色防控等技术的扩散，提升农户采用绿色技术的概率与速度，从而直接增加绿色投入、降低化肥农药使用强度与碳排放。</w:t>
      </w:r>
    </w:p>
    <w:p w14:paraId="3582B9A1"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 xml:space="preserve">2．销售渠道拓展路径 </w:t>
      </w:r>
      <w:proofErr w:type="gramStart"/>
      <w:r>
        <w:rPr>
          <w:rFonts w:ascii="宋体" w:eastAsia="宋体" w:hAnsi="宋体" w:cs="宋体" w:hint="eastAsia"/>
          <w:sz w:val="28"/>
          <w:szCs w:val="28"/>
        </w:rPr>
        <w:t>农业电</w:t>
      </w:r>
      <w:proofErr w:type="gramEnd"/>
      <w:r>
        <w:rPr>
          <w:rFonts w:ascii="宋体" w:eastAsia="宋体" w:hAnsi="宋体" w:cs="宋体" w:hint="eastAsia"/>
          <w:sz w:val="28"/>
          <w:szCs w:val="28"/>
        </w:rPr>
        <w:t>商、直播带货、社区团购等新业态打破传统销售半径限制，缩短绿色农产品与消费者之间的距离，实现“优质优价”（李怡等，2023；Couture et al., 2021）。黄土高原特色农产品（如小杂粮、马铃薯、羊肉）长期面临“卖难”与“价低”问题，该路径通过提升绿色农产品溢价能力，强化农户绿色生产的经济激励，形成“市场拉动—绿色供给增加”的正向循环。</w:t>
      </w:r>
    </w:p>
    <w:p w14:paraId="73181A0B"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3．精准作业路径 物联网、无人机、北斗导航、变量施肥施药设备等智慧农业技术实现水、肥、药的精准投放，显著减少资源浪费与环境污染（Finger et al., 2019；张舰等，2024）。黄土高原地块破碎、坡耕地比例高，传统作业易造成投入品过量，该路径可将化肥利用率提升6—10个百分点、灌溉水有效利用系数提升0.03—0.05，同步实现产量提升与绿色水平提高。</w:t>
      </w:r>
    </w:p>
    <w:p w14:paraId="7EAC1FEA"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4．数字基础设施整体支撑路径 信息传输、软件和信息技术服务业快速发展，形成覆盖“田间—市场—政府”的数字生态系统，产生显著网络外部性与规模经济（陈伟等，2023）。该路径不仅是前三条路径的技术与</w:t>
      </w:r>
      <w:r>
        <w:rPr>
          <w:rFonts w:ascii="宋体" w:eastAsia="宋体" w:hAnsi="宋体" w:cs="宋体" w:hint="eastAsia"/>
          <w:sz w:val="28"/>
          <w:szCs w:val="28"/>
        </w:rPr>
        <w:lastRenderedPageBreak/>
        <w:t>数据支撑，还通过大数据分析、区块链溯源等重塑农业产业</w:t>
      </w:r>
      <w:proofErr w:type="gramStart"/>
      <w:r>
        <w:rPr>
          <w:rFonts w:ascii="宋体" w:eastAsia="宋体" w:hAnsi="宋体" w:cs="宋体" w:hint="eastAsia"/>
          <w:sz w:val="28"/>
          <w:szCs w:val="28"/>
        </w:rPr>
        <w:t>链资源</w:t>
      </w:r>
      <w:proofErr w:type="gramEnd"/>
      <w:r>
        <w:rPr>
          <w:rFonts w:ascii="宋体" w:eastAsia="宋体" w:hAnsi="宋体" w:cs="宋体" w:hint="eastAsia"/>
          <w:sz w:val="28"/>
          <w:szCs w:val="28"/>
        </w:rPr>
        <w:t>配置效率，为绿色高质量发展提供长期内生动力。</w:t>
      </w:r>
    </w:p>
    <w:p w14:paraId="2C514108"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上述四条路径并非孤立，而是通过正反馈机制相互强化：信息扩散促进技术采用→精准作业提升绿色水平→电商实现优质优价→农户收入增加→进一步投资数字基础设施→网络效应放大→绿色高质量发展水平螺旋式上升。在资源越稀缺、生态越脆弱的地区，该正反馈机制的乘数效应可能越强。</w:t>
      </w:r>
    </w:p>
    <w:p w14:paraId="44388E79" w14:textId="77777777" w:rsidR="005B623A" w:rsidRDefault="00000000">
      <w:pPr>
        <w:pStyle w:val="2"/>
        <w:spacing w:after="62"/>
      </w:pPr>
      <w:r>
        <w:rPr>
          <w:rFonts w:hint="eastAsia"/>
        </w:rPr>
        <w:t>（二）研究假设</w:t>
      </w:r>
    </w:p>
    <w:p w14:paraId="48BE8522"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基于理论机制并结合黄土高原实际，本文提出以下可检验假设：</w:t>
      </w:r>
    </w:p>
    <w:p w14:paraId="500646A3"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H1：数字经济对农业绿色高质量发展具有正向影响。 在控制资源禀赋、财政补贴、人口规模等变量后，数字经济指数上升预计与农业绿色高质量发展指数正相关。</w:t>
      </w:r>
    </w:p>
    <w:p w14:paraId="1BD0BA87"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H2：精准作业与销售渠道拓展路径的作用相对更为突出。 鉴于黄土高原水土资源约束最强、销售半径受限最严重，智慧农业应用面积与</w:t>
      </w:r>
      <w:proofErr w:type="gramStart"/>
      <w:r>
        <w:rPr>
          <w:rFonts w:ascii="宋体" w:eastAsia="宋体" w:hAnsi="宋体" w:cs="宋体" w:hint="eastAsia"/>
          <w:sz w:val="28"/>
          <w:szCs w:val="28"/>
        </w:rPr>
        <w:t>农业电</w:t>
      </w:r>
      <w:proofErr w:type="gramEnd"/>
      <w:r>
        <w:rPr>
          <w:rFonts w:ascii="宋体" w:eastAsia="宋体" w:hAnsi="宋体" w:cs="宋体" w:hint="eastAsia"/>
          <w:sz w:val="28"/>
          <w:szCs w:val="28"/>
        </w:rPr>
        <w:t>商交易额两个子指标的贡献预计在数字经济内部位居前列。</w:t>
      </w:r>
    </w:p>
    <w:p w14:paraId="31908251"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H3：数字经济的相对重要性与传统财政补贴相当或略高（待实证检验）。 在政策可干预变量中，数字经济指数的重要性预计不低于农业补贴金额，但具体排序需结合不同方法稳健性检验判断。</w:t>
      </w:r>
    </w:p>
    <w:p w14:paraId="0FE43CE3"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H4：数字经济的影响存在非线性门槛特征。 当数字经济指数低于某一门槛（预计对应2016—2017年基础设施加速期）时，边际贡献较小；跨越门槛后，由于网络外部性与规模经济，边际贡献显著增强。</w:t>
      </w:r>
    </w:p>
    <w:p w14:paraId="420093AD"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lastRenderedPageBreak/>
        <w:t>后续章节将采用机器学习方法对上述假设进行检验，并通过熵值法、滞后一期、删除异常年份等多种稳健性检验评估结果可靠性。</w:t>
      </w:r>
    </w:p>
    <w:p w14:paraId="2B2E2B11" w14:textId="77777777" w:rsidR="005B623A" w:rsidRDefault="00000000">
      <w:pPr>
        <w:pStyle w:val="1"/>
        <w:spacing w:after="312"/>
        <w:rPr>
          <w:rStyle w:val="af6"/>
          <w:rFonts w:ascii="黑体" w:eastAsia="黑体" w:hAnsi="黑体" w:cs="黑体"/>
          <w:b/>
          <w:szCs w:val="30"/>
        </w:rPr>
      </w:pPr>
      <w:r>
        <w:rPr>
          <w:rStyle w:val="af6"/>
          <w:rFonts w:ascii="黑体" w:eastAsia="黑体" w:hAnsi="黑体" w:cs="黑体" w:hint="eastAsia"/>
          <w:b/>
          <w:szCs w:val="30"/>
        </w:rPr>
        <w:t>研究设计、变量选取与数据说明</w:t>
      </w:r>
    </w:p>
    <w:p w14:paraId="2536EF23" w14:textId="77777777" w:rsidR="005B623A" w:rsidRDefault="00000000">
      <w:pPr>
        <w:pStyle w:val="2"/>
        <w:spacing w:after="62"/>
      </w:pPr>
      <w:r>
        <w:rPr>
          <w:rFonts w:hint="eastAsia"/>
        </w:rPr>
        <w:t>（一）案例地选择</w:t>
      </w:r>
    </w:p>
    <w:p w14:paraId="4780E1E3"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榆林市位于陕西省最北部，地处黄土高原与毛乌素沙漠交错地带，黄土丘陵沟壑区占国土面积65%以上，水土流失面积3.7万平方公里，是黄土高原生态脆弱性的典型代表。该市同时为国家重要商品粮基地和能源重化工基地，具有资源型经济与农业大市的双重特征。2010—2022年，榆林市绿色农产品产值、数字基础设施与智慧农业应用均呈现较快增长，为考察数字经济与农业绿色发展的关系提供了适宜的案例样本。</w:t>
      </w:r>
    </w:p>
    <w:p w14:paraId="3666A8F1" w14:textId="77777777" w:rsidR="005B623A" w:rsidRDefault="00000000">
      <w:pPr>
        <w:pStyle w:val="2"/>
        <w:spacing w:after="62"/>
      </w:pPr>
      <w:r>
        <w:rPr>
          <w:rFonts w:hint="eastAsia"/>
        </w:rPr>
        <w:t>（二）数据来源、样本期间与处理说明</w:t>
      </w:r>
    </w:p>
    <w:p w14:paraId="1B6BF979"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本文使用2010—2022年榆林市时间序列数据（n=13）。主要数据来源于《榆林统计年鉴》（2011—2023）、《陕西统计年鉴》（2011—2023）以及农业农村、自然资源、水利等部门内部报表。</w:t>
      </w:r>
    </w:p>
    <w:p w14:paraId="184E5B38" w14:textId="77777777" w:rsidR="005B623A" w:rsidRDefault="00000000">
      <w:pPr>
        <w:pStyle w:val="af3"/>
        <w:widowControl/>
        <w:adjustRightInd/>
        <w:snapToGrid/>
        <w:spacing w:after="62" w:line="560" w:lineRule="atLeast"/>
        <w:ind w:firstLineChars="200" w:firstLine="560"/>
      </w:pPr>
      <w:r>
        <w:rPr>
          <w:rFonts w:ascii="宋体" w:eastAsia="宋体" w:hAnsi="宋体" w:cs="宋体" w:hint="eastAsia"/>
          <w:sz w:val="28"/>
          <w:szCs w:val="28"/>
        </w:rPr>
        <w:t>需特别说明的是，部分关键变量存在较多年份缺失：信息传输业产值2015—2021年连续7年缺失（占比53.8%），</w:t>
      </w:r>
      <w:proofErr w:type="gramStart"/>
      <w:r>
        <w:rPr>
          <w:rFonts w:ascii="宋体" w:eastAsia="宋体" w:hAnsi="宋体" w:cs="宋体" w:hint="eastAsia"/>
          <w:sz w:val="28"/>
          <w:szCs w:val="28"/>
        </w:rPr>
        <w:t>农业电</w:t>
      </w:r>
      <w:proofErr w:type="gramEnd"/>
      <w:r>
        <w:rPr>
          <w:rFonts w:ascii="宋体" w:eastAsia="宋体" w:hAnsi="宋体" w:cs="宋体" w:hint="eastAsia"/>
          <w:sz w:val="28"/>
          <w:szCs w:val="28"/>
        </w:rPr>
        <w:t>商交易额与智慧农业应用面积早期年份数据不完整。本文采用中位数填补与线性插值相结合的方法进行处理（具体缺失情况见附表1）。</w:t>
      </w:r>
    </w:p>
    <w:p w14:paraId="110E3908" w14:textId="77777777" w:rsidR="005B623A" w:rsidRDefault="00000000">
      <w:pPr>
        <w:pStyle w:val="2"/>
        <w:spacing w:after="62"/>
      </w:pPr>
      <w:r>
        <w:rPr>
          <w:rFonts w:hint="eastAsia"/>
        </w:rPr>
        <w:t>（三）变量选取与指数构建</w:t>
      </w:r>
    </w:p>
    <w:p w14:paraId="69AE9888"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1．被解释变量：农业绿色高质量发展指数（</w:t>
      </w:r>
      <w:proofErr w:type="spellStart"/>
      <w:r>
        <w:rPr>
          <w:rFonts w:ascii="宋体" w:eastAsia="宋体" w:hAnsi="宋体" w:cs="宋体" w:hint="eastAsia"/>
          <w:sz w:val="28"/>
          <w:szCs w:val="28"/>
        </w:rPr>
        <w:t>Green_Index</w:t>
      </w:r>
      <w:proofErr w:type="spellEnd"/>
      <w:r>
        <w:rPr>
          <w:rFonts w:ascii="宋体" w:eastAsia="宋体" w:hAnsi="宋体" w:cs="宋体" w:hint="eastAsia"/>
          <w:sz w:val="28"/>
          <w:szCs w:val="28"/>
        </w:rPr>
        <w:t>） 参考尹朝静等（2022）并结合黄土高原实际，选取6个维度指标（表4-1）。</w:t>
      </w:r>
    </w:p>
    <w:p w14:paraId="6A1E952F" w14:textId="77777777" w:rsidR="005B623A" w:rsidRDefault="00000000">
      <w:pPr>
        <w:pStyle w:val="af3"/>
        <w:widowControl/>
        <w:adjustRightInd/>
        <w:snapToGrid/>
        <w:spacing w:after="62" w:line="560" w:lineRule="atLeast"/>
        <w:ind w:firstLineChars="200" w:firstLine="482"/>
        <w:jc w:val="center"/>
      </w:pPr>
      <w:r>
        <w:rPr>
          <w:rStyle w:val="af6"/>
        </w:rPr>
        <w:lastRenderedPageBreak/>
        <w:t>表</w:t>
      </w:r>
      <w:r>
        <w:rPr>
          <w:rStyle w:val="af6"/>
        </w:rPr>
        <w:t>4-1</w:t>
      </w:r>
      <w:r>
        <w:rPr>
          <w:rStyle w:val="af6"/>
        </w:rPr>
        <w:t xml:space="preserve">　农业绿色高质量发展指数指标体系</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160"/>
        <w:gridCol w:w="1160"/>
        <w:gridCol w:w="1075"/>
        <w:gridCol w:w="1504"/>
      </w:tblGrid>
      <w:tr w:rsidR="005B623A" w14:paraId="142BC922" w14:textId="77777777" w:rsidTr="0022082E">
        <w:trPr>
          <w:tblHeader/>
          <w:tblCellSpacing w:w="15" w:type="dxa"/>
          <w:jc w:val="center"/>
        </w:trPr>
        <w:tc>
          <w:tcPr>
            <w:tcW w:w="1570" w:type="dxa"/>
            <w:vAlign w:val="center"/>
          </w:tcPr>
          <w:p w14:paraId="324E2EFA"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维度</w:t>
            </w:r>
          </w:p>
        </w:tc>
        <w:tc>
          <w:tcPr>
            <w:tcW w:w="2130" w:type="dxa"/>
            <w:vAlign w:val="center"/>
          </w:tcPr>
          <w:p w14:paraId="7C6CECCE"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指标名称</w:t>
            </w:r>
          </w:p>
        </w:tc>
        <w:tc>
          <w:tcPr>
            <w:tcW w:w="0" w:type="auto"/>
            <w:vAlign w:val="center"/>
          </w:tcPr>
          <w:p w14:paraId="79C59FAE"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单位</w:t>
            </w:r>
          </w:p>
        </w:tc>
        <w:tc>
          <w:tcPr>
            <w:tcW w:w="1045" w:type="dxa"/>
            <w:vAlign w:val="center"/>
          </w:tcPr>
          <w:p w14:paraId="2D8BD85D"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预期方向</w:t>
            </w:r>
          </w:p>
        </w:tc>
        <w:tc>
          <w:tcPr>
            <w:tcW w:w="1459" w:type="dxa"/>
            <w:vAlign w:val="center"/>
          </w:tcPr>
          <w:p w14:paraId="68F82EE4"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数据来源</w:t>
            </w:r>
          </w:p>
        </w:tc>
      </w:tr>
      <w:tr w:rsidR="005B623A" w14:paraId="3BD7B129" w14:textId="77777777" w:rsidTr="0022082E">
        <w:trPr>
          <w:tblCellSpacing w:w="15" w:type="dxa"/>
          <w:jc w:val="center"/>
        </w:trPr>
        <w:tc>
          <w:tcPr>
            <w:tcW w:w="1570" w:type="dxa"/>
            <w:vAlign w:val="center"/>
          </w:tcPr>
          <w:p w14:paraId="6ECFCAD5" w14:textId="77777777" w:rsidR="005B623A" w:rsidRDefault="00000000" w:rsidP="0022082E">
            <w:pPr>
              <w:widowControl/>
              <w:adjustRightInd/>
              <w:snapToGrid/>
              <w:spacing w:after="62" w:line="560" w:lineRule="atLeast"/>
              <w:ind w:firstLineChars="200" w:firstLine="480"/>
              <w:jc w:val="left"/>
            </w:pPr>
            <w:r>
              <w:rPr>
                <w:rFonts w:ascii="宋体" w:eastAsia="宋体" w:hAnsi="宋体" w:cs="宋体"/>
                <w:kern w:val="0"/>
                <w:lang w:bidi="ar"/>
              </w:rPr>
              <w:t>产量保障</w:t>
            </w:r>
          </w:p>
        </w:tc>
        <w:tc>
          <w:tcPr>
            <w:tcW w:w="2130" w:type="dxa"/>
            <w:vAlign w:val="center"/>
          </w:tcPr>
          <w:p w14:paraId="34A53109"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粮食总产量</w:t>
            </w:r>
          </w:p>
        </w:tc>
        <w:tc>
          <w:tcPr>
            <w:tcW w:w="0" w:type="auto"/>
            <w:vAlign w:val="center"/>
          </w:tcPr>
          <w:p w14:paraId="4056F039"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万吨</w:t>
            </w:r>
          </w:p>
        </w:tc>
        <w:tc>
          <w:tcPr>
            <w:tcW w:w="1045" w:type="dxa"/>
            <w:vAlign w:val="center"/>
          </w:tcPr>
          <w:p w14:paraId="624A9F42"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正向</w:t>
            </w:r>
          </w:p>
        </w:tc>
        <w:tc>
          <w:tcPr>
            <w:tcW w:w="1459" w:type="dxa"/>
            <w:vAlign w:val="center"/>
          </w:tcPr>
          <w:p w14:paraId="63CC9E09"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榆林统计年鉴</w:t>
            </w:r>
          </w:p>
        </w:tc>
      </w:tr>
      <w:tr w:rsidR="005B623A" w14:paraId="60D8AD8F" w14:textId="77777777" w:rsidTr="0022082E">
        <w:trPr>
          <w:tblCellSpacing w:w="15" w:type="dxa"/>
          <w:jc w:val="center"/>
        </w:trPr>
        <w:tc>
          <w:tcPr>
            <w:tcW w:w="1570" w:type="dxa"/>
            <w:vAlign w:val="center"/>
          </w:tcPr>
          <w:p w14:paraId="5CB44F54" w14:textId="77777777" w:rsidR="005B623A" w:rsidRDefault="00000000" w:rsidP="0022082E">
            <w:pPr>
              <w:widowControl/>
              <w:adjustRightInd/>
              <w:snapToGrid/>
              <w:spacing w:after="62" w:line="560" w:lineRule="atLeast"/>
              <w:ind w:firstLineChars="200" w:firstLine="480"/>
              <w:jc w:val="left"/>
            </w:pPr>
            <w:r>
              <w:rPr>
                <w:rFonts w:ascii="宋体" w:eastAsia="宋体" w:hAnsi="宋体" w:cs="宋体"/>
                <w:kern w:val="0"/>
                <w:lang w:bidi="ar"/>
              </w:rPr>
              <w:t>质量效益</w:t>
            </w:r>
          </w:p>
        </w:tc>
        <w:tc>
          <w:tcPr>
            <w:tcW w:w="2130" w:type="dxa"/>
            <w:vAlign w:val="center"/>
          </w:tcPr>
          <w:p w14:paraId="0C5436C4"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绿色农产品产值</w:t>
            </w:r>
          </w:p>
        </w:tc>
        <w:tc>
          <w:tcPr>
            <w:tcW w:w="0" w:type="auto"/>
            <w:vAlign w:val="center"/>
          </w:tcPr>
          <w:p w14:paraId="15C5AA3D"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亿元</w:t>
            </w:r>
          </w:p>
        </w:tc>
        <w:tc>
          <w:tcPr>
            <w:tcW w:w="1045" w:type="dxa"/>
            <w:vAlign w:val="center"/>
          </w:tcPr>
          <w:p w14:paraId="5B20A001"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正向</w:t>
            </w:r>
          </w:p>
        </w:tc>
        <w:tc>
          <w:tcPr>
            <w:tcW w:w="1459" w:type="dxa"/>
            <w:vAlign w:val="center"/>
          </w:tcPr>
          <w:p w14:paraId="0DA728E6"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榆林统计年鉴</w:t>
            </w:r>
          </w:p>
        </w:tc>
      </w:tr>
      <w:tr w:rsidR="005B623A" w14:paraId="7CB038C0" w14:textId="77777777" w:rsidTr="0022082E">
        <w:trPr>
          <w:tblCellSpacing w:w="15" w:type="dxa"/>
          <w:jc w:val="center"/>
        </w:trPr>
        <w:tc>
          <w:tcPr>
            <w:tcW w:w="1570" w:type="dxa"/>
            <w:vAlign w:val="center"/>
          </w:tcPr>
          <w:p w14:paraId="73873504" w14:textId="77777777" w:rsidR="005B623A" w:rsidRDefault="00000000" w:rsidP="0022082E">
            <w:pPr>
              <w:widowControl/>
              <w:adjustRightInd/>
              <w:snapToGrid/>
              <w:spacing w:after="62" w:line="560" w:lineRule="atLeast"/>
              <w:ind w:firstLineChars="200" w:firstLine="480"/>
              <w:jc w:val="left"/>
            </w:pPr>
            <w:r>
              <w:rPr>
                <w:rFonts w:ascii="宋体" w:eastAsia="宋体" w:hAnsi="宋体" w:cs="宋体"/>
                <w:kern w:val="0"/>
                <w:lang w:bidi="ar"/>
              </w:rPr>
              <w:t>绿色投入</w:t>
            </w:r>
          </w:p>
        </w:tc>
        <w:tc>
          <w:tcPr>
            <w:tcW w:w="2130" w:type="dxa"/>
            <w:vAlign w:val="center"/>
          </w:tcPr>
          <w:p w14:paraId="2509D423"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有机肥料使用量</w:t>
            </w:r>
          </w:p>
        </w:tc>
        <w:tc>
          <w:tcPr>
            <w:tcW w:w="0" w:type="auto"/>
            <w:vAlign w:val="center"/>
          </w:tcPr>
          <w:p w14:paraId="051C1BF5"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万吨</w:t>
            </w:r>
          </w:p>
        </w:tc>
        <w:tc>
          <w:tcPr>
            <w:tcW w:w="1045" w:type="dxa"/>
            <w:vAlign w:val="center"/>
          </w:tcPr>
          <w:p w14:paraId="2269464B"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正向</w:t>
            </w:r>
          </w:p>
        </w:tc>
        <w:tc>
          <w:tcPr>
            <w:tcW w:w="1459" w:type="dxa"/>
            <w:vAlign w:val="center"/>
          </w:tcPr>
          <w:p w14:paraId="3BBA7F3E"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榆林统计年鉴</w:t>
            </w:r>
          </w:p>
        </w:tc>
      </w:tr>
      <w:tr w:rsidR="005B623A" w14:paraId="64B5DD5B" w14:textId="77777777" w:rsidTr="0022082E">
        <w:trPr>
          <w:tblCellSpacing w:w="15" w:type="dxa"/>
          <w:jc w:val="center"/>
        </w:trPr>
        <w:tc>
          <w:tcPr>
            <w:tcW w:w="1570" w:type="dxa"/>
            <w:vAlign w:val="center"/>
          </w:tcPr>
          <w:p w14:paraId="0F7E05AE" w14:textId="77777777" w:rsidR="005B623A" w:rsidRDefault="00000000" w:rsidP="0022082E">
            <w:pPr>
              <w:widowControl/>
              <w:adjustRightInd/>
              <w:snapToGrid/>
              <w:spacing w:after="62" w:line="560" w:lineRule="atLeast"/>
              <w:ind w:firstLineChars="200" w:firstLine="480"/>
              <w:jc w:val="left"/>
            </w:pPr>
            <w:r>
              <w:rPr>
                <w:rFonts w:ascii="宋体" w:eastAsia="宋体" w:hAnsi="宋体" w:cs="宋体"/>
                <w:kern w:val="0"/>
                <w:lang w:bidi="ar"/>
              </w:rPr>
              <w:t>资源效率</w:t>
            </w:r>
          </w:p>
        </w:tc>
        <w:tc>
          <w:tcPr>
            <w:tcW w:w="2130" w:type="dxa"/>
            <w:vAlign w:val="center"/>
          </w:tcPr>
          <w:p w14:paraId="70AC9549"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农田灌溉水有效利用系数</w:t>
            </w:r>
          </w:p>
        </w:tc>
        <w:tc>
          <w:tcPr>
            <w:tcW w:w="0" w:type="auto"/>
            <w:vAlign w:val="center"/>
          </w:tcPr>
          <w:p w14:paraId="27E810C0"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无量纲</w:t>
            </w:r>
          </w:p>
        </w:tc>
        <w:tc>
          <w:tcPr>
            <w:tcW w:w="1045" w:type="dxa"/>
            <w:vAlign w:val="center"/>
          </w:tcPr>
          <w:p w14:paraId="0CD759B7"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正向</w:t>
            </w:r>
          </w:p>
        </w:tc>
        <w:tc>
          <w:tcPr>
            <w:tcW w:w="1459" w:type="dxa"/>
            <w:vAlign w:val="center"/>
          </w:tcPr>
          <w:p w14:paraId="3C996B4A"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水利局年报</w:t>
            </w:r>
          </w:p>
        </w:tc>
      </w:tr>
      <w:tr w:rsidR="005B623A" w14:paraId="12383D6D" w14:textId="77777777" w:rsidTr="0022082E">
        <w:trPr>
          <w:tblCellSpacing w:w="15" w:type="dxa"/>
          <w:jc w:val="center"/>
        </w:trPr>
        <w:tc>
          <w:tcPr>
            <w:tcW w:w="1570" w:type="dxa"/>
            <w:vAlign w:val="center"/>
          </w:tcPr>
          <w:p w14:paraId="2FF9E658" w14:textId="77777777" w:rsidR="005B623A" w:rsidRDefault="00000000" w:rsidP="0022082E">
            <w:pPr>
              <w:widowControl/>
              <w:adjustRightInd/>
              <w:snapToGrid/>
              <w:spacing w:after="62" w:line="560" w:lineRule="atLeast"/>
              <w:ind w:firstLineChars="200" w:firstLine="480"/>
              <w:jc w:val="left"/>
            </w:pPr>
            <w:r>
              <w:rPr>
                <w:rFonts w:ascii="宋体" w:eastAsia="宋体" w:hAnsi="宋体" w:cs="宋体"/>
                <w:kern w:val="0"/>
                <w:lang w:bidi="ar"/>
              </w:rPr>
              <w:t>环境影响</w:t>
            </w:r>
          </w:p>
        </w:tc>
        <w:tc>
          <w:tcPr>
            <w:tcW w:w="2130" w:type="dxa"/>
            <w:vAlign w:val="center"/>
          </w:tcPr>
          <w:p w14:paraId="2106823B"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农业碳排放总量（反向）</w:t>
            </w:r>
          </w:p>
        </w:tc>
        <w:tc>
          <w:tcPr>
            <w:tcW w:w="0" w:type="auto"/>
            <w:vAlign w:val="center"/>
          </w:tcPr>
          <w:p w14:paraId="11BED71F"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万吨</w:t>
            </w:r>
            <w:proofErr w:type="spellStart"/>
            <w:r>
              <w:rPr>
                <w:rFonts w:ascii="宋体" w:eastAsia="宋体" w:hAnsi="宋体" w:cs="宋体"/>
                <w:kern w:val="0"/>
                <w:lang w:bidi="ar"/>
              </w:rPr>
              <w:t>CO₂e</w:t>
            </w:r>
            <w:proofErr w:type="spellEnd"/>
          </w:p>
        </w:tc>
        <w:tc>
          <w:tcPr>
            <w:tcW w:w="1045" w:type="dxa"/>
            <w:vAlign w:val="center"/>
          </w:tcPr>
          <w:p w14:paraId="614F70E3"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负向</w:t>
            </w:r>
          </w:p>
        </w:tc>
        <w:tc>
          <w:tcPr>
            <w:tcW w:w="1459" w:type="dxa"/>
            <w:vAlign w:val="center"/>
          </w:tcPr>
          <w:p w14:paraId="3FAAB03F"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榆林统计年鉴</w:t>
            </w:r>
          </w:p>
        </w:tc>
      </w:tr>
      <w:tr w:rsidR="005B623A" w14:paraId="2C94E9F9" w14:textId="77777777" w:rsidTr="0022082E">
        <w:trPr>
          <w:tblCellSpacing w:w="15" w:type="dxa"/>
          <w:jc w:val="center"/>
        </w:trPr>
        <w:tc>
          <w:tcPr>
            <w:tcW w:w="1570" w:type="dxa"/>
            <w:vAlign w:val="center"/>
          </w:tcPr>
          <w:p w14:paraId="12993E97" w14:textId="77777777" w:rsidR="005B623A" w:rsidRDefault="00000000" w:rsidP="0022082E">
            <w:pPr>
              <w:widowControl/>
              <w:adjustRightInd/>
              <w:snapToGrid/>
              <w:spacing w:after="62" w:line="560" w:lineRule="atLeast"/>
              <w:ind w:firstLineChars="200" w:firstLine="480"/>
              <w:jc w:val="left"/>
            </w:pPr>
            <w:r>
              <w:rPr>
                <w:rFonts w:ascii="宋体" w:eastAsia="宋体" w:hAnsi="宋体" w:cs="宋体"/>
                <w:kern w:val="0"/>
                <w:lang w:bidi="ar"/>
              </w:rPr>
              <w:t>技术进步</w:t>
            </w:r>
          </w:p>
        </w:tc>
        <w:tc>
          <w:tcPr>
            <w:tcW w:w="2130" w:type="dxa"/>
            <w:vAlign w:val="center"/>
          </w:tcPr>
          <w:p w14:paraId="1C02DEFB"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农业机械化水平</w:t>
            </w:r>
          </w:p>
        </w:tc>
        <w:tc>
          <w:tcPr>
            <w:tcW w:w="0" w:type="auto"/>
            <w:vAlign w:val="center"/>
          </w:tcPr>
          <w:p w14:paraId="3530F889" w14:textId="77777777" w:rsidR="005B623A" w:rsidRDefault="00000000" w:rsidP="0022082E">
            <w:pPr>
              <w:widowControl/>
              <w:adjustRightInd/>
              <w:snapToGrid/>
              <w:spacing w:after="62" w:line="560" w:lineRule="atLeast"/>
              <w:ind w:firstLineChars="200" w:firstLine="480"/>
              <w:jc w:val="center"/>
            </w:pPr>
            <w:proofErr w:type="gramStart"/>
            <w:r>
              <w:rPr>
                <w:rFonts w:ascii="宋体" w:eastAsia="宋体" w:hAnsi="宋体" w:cs="宋体"/>
                <w:kern w:val="0"/>
                <w:lang w:bidi="ar"/>
              </w:rPr>
              <w:t>千瓦/</w:t>
            </w:r>
            <w:proofErr w:type="gramEnd"/>
            <w:r>
              <w:rPr>
                <w:rFonts w:ascii="宋体" w:eastAsia="宋体" w:hAnsi="宋体" w:cs="宋体"/>
                <w:kern w:val="0"/>
                <w:lang w:bidi="ar"/>
              </w:rPr>
              <w:t>公顷</w:t>
            </w:r>
          </w:p>
        </w:tc>
        <w:tc>
          <w:tcPr>
            <w:tcW w:w="1045" w:type="dxa"/>
            <w:vAlign w:val="center"/>
          </w:tcPr>
          <w:p w14:paraId="32BB5FD6"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正向</w:t>
            </w:r>
          </w:p>
        </w:tc>
        <w:tc>
          <w:tcPr>
            <w:tcW w:w="1459" w:type="dxa"/>
            <w:vAlign w:val="center"/>
          </w:tcPr>
          <w:p w14:paraId="595853D5" w14:textId="77777777" w:rsidR="005B623A" w:rsidRDefault="00000000" w:rsidP="0022082E">
            <w:pPr>
              <w:widowControl/>
              <w:adjustRightInd/>
              <w:snapToGrid/>
              <w:spacing w:after="62" w:line="560" w:lineRule="atLeast"/>
              <w:ind w:firstLineChars="200" w:firstLine="480"/>
              <w:jc w:val="center"/>
            </w:pPr>
            <w:r>
              <w:rPr>
                <w:rFonts w:ascii="宋体" w:eastAsia="宋体" w:hAnsi="宋体" w:cs="宋体"/>
                <w:kern w:val="0"/>
                <w:lang w:bidi="ar"/>
              </w:rPr>
              <w:t>统计年鉴计算</w:t>
            </w:r>
          </w:p>
        </w:tc>
      </w:tr>
    </w:tbl>
    <w:p w14:paraId="67E0B5E5"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构建步骤：碳排放取负值后极差标准化，KMO=0.712，Bartlett检验显著，第一主成分解释方差60.99%，据此合成</w:t>
      </w:r>
      <w:proofErr w:type="spellStart"/>
      <w:r>
        <w:rPr>
          <w:rFonts w:ascii="宋体" w:eastAsia="宋体" w:hAnsi="宋体" w:cs="宋体" w:hint="eastAsia"/>
          <w:sz w:val="28"/>
          <w:szCs w:val="28"/>
        </w:rPr>
        <w:t>Green_Index</w:t>
      </w:r>
      <w:proofErr w:type="spellEnd"/>
      <w:r>
        <w:rPr>
          <w:rFonts w:ascii="宋体" w:eastAsia="宋体" w:hAnsi="宋体" w:cs="宋体" w:hint="eastAsia"/>
          <w:sz w:val="28"/>
          <w:szCs w:val="28"/>
        </w:rPr>
        <w:t>（0—1）。</w:t>
      </w:r>
    </w:p>
    <w:p w14:paraId="32AEF420" w14:textId="77777777" w:rsidR="005B623A" w:rsidRDefault="00000000">
      <w:pPr>
        <w:pStyle w:val="af3"/>
        <w:widowControl/>
        <w:adjustRightInd/>
        <w:snapToGrid/>
        <w:spacing w:after="62" w:line="560" w:lineRule="atLeast"/>
        <w:ind w:firstLineChars="200" w:firstLine="560"/>
      </w:pPr>
      <w:r>
        <w:rPr>
          <w:rFonts w:ascii="宋体" w:eastAsia="宋体" w:hAnsi="宋体" w:cs="宋体" w:hint="eastAsia"/>
          <w:sz w:val="28"/>
          <w:szCs w:val="28"/>
        </w:rPr>
        <w:t>2．核心解释变量：数字经济指数（</w:t>
      </w:r>
      <w:proofErr w:type="spellStart"/>
      <w:r>
        <w:rPr>
          <w:rFonts w:ascii="宋体" w:eastAsia="宋体" w:hAnsi="宋体" w:cs="宋体" w:hint="eastAsia"/>
          <w:sz w:val="28"/>
          <w:szCs w:val="28"/>
        </w:rPr>
        <w:t>Digital_Index</w:t>
      </w:r>
      <w:proofErr w:type="spellEnd"/>
      <w:r>
        <w:rPr>
          <w:rFonts w:ascii="宋体" w:eastAsia="宋体" w:hAnsi="宋体" w:cs="宋体" w:hint="eastAsia"/>
          <w:sz w:val="28"/>
          <w:szCs w:val="28"/>
        </w:rPr>
        <w:t>） 选取4个代表性指标（表4-2）</w:t>
      </w:r>
      <w:r>
        <w:t>。</w:t>
      </w:r>
    </w:p>
    <w:p w14:paraId="7CD8329C" w14:textId="77777777" w:rsidR="005B623A" w:rsidRDefault="005B623A">
      <w:pPr>
        <w:pStyle w:val="af3"/>
        <w:widowControl/>
        <w:adjustRightInd/>
        <w:snapToGrid/>
        <w:spacing w:after="62" w:line="560" w:lineRule="atLeast"/>
      </w:pPr>
    </w:p>
    <w:p w14:paraId="0D1A735A" w14:textId="77777777" w:rsidR="005B623A" w:rsidRDefault="005B623A">
      <w:pPr>
        <w:pStyle w:val="af3"/>
        <w:widowControl/>
        <w:adjustRightInd/>
        <w:snapToGrid/>
        <w:spacing w:after="62" w:line="560" w:lineRule="atLeast"/>
      </w:pPr>
    </w:p>
    <w:p w14:paraId="4AC7EDBB" w14:textId="77777777" w:rsidR="005B623A" w:rsidRDefault="005B623A">
      <w:pPr>
        <w:pStyle w:val="af3"/>
        <w:widowControl/>
        <w:adjustRightInd/>
        <w:snapToGrid/>
        <w:spacing w:after="62" w:line="560" w:lineRule="atLeast"/>
      </w:pPr>
    </w:p>
    <w:p w14:paraId="72F7F4F3" w14:textId="77777777" w:rsidR="005B623A" w:rsidRDefault="00000000">
      <w:pPr>
        <w:pStyle w:val="af3"/>
        <w:widowControl/>
        <w:adjustRightInd/>
        <w:snapToGrid/>
        <w:spacing w:after="62" w:line="560" w:lineRule="atLeast"/>
        <w:jc w:val="center"/>
      </w:pPr>
      <w:r>
        <w:rPr>
          <w:rStyle w:val="af6"/>
        </w:rPr>
        <w:lastRenderedPageBreak/>
        <w:t>表</w:t>
      </w:r>
      <w:r>
        <w:rPr>
          <w:rStyle w:val="af6"/>
        </w:rPr>
        <w:t>4-2</w:t>
      </w:r>
      <w:r>
        <w:rPr>
          <w:rStyle w:val="af6"/>
        </w:rPr>
        <w:t xml:space="preserve">　数字经济指数指标体系</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1275"/>
        <w:gridCol w:w="1365"/>
        <w:gridCol w:w="1273"/>
      </w:tblGrid>
      <w:tr w:rsidR="005B623A" w14:paraId="5B1FA85B" w14:textId="77777777" w:rsidTr="0022082E">
        <w:trPr>
          <w:tblHeader/>
          <w:tblCellSpacing w:w="15" w:type="dxa"/>
          <w:jc w:val="center"/>
        </w:trPr>
        <w:tc>
          <w:tcPr>
            <w:tcW w:w="1676" w:type="dxa"/>
            <w:vAlign w:val="center"/>
          </w:tcPr>
          <w:p w14:paraId="2D7CFC33"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指标名称</w:t>
            </w:r>
          </w:p>
        </w:tc>
        <w:tc>
          <w:tcPr>
            <w:tcW w:w="1245" w:type="dxa"/>
            <w:vAlign w:val="center"/>
          </w:tcPr>
          <w:p w14:paraId="2EE3F5FD"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单位</w:t>
            </w:r>
          </w:p>
        </w:tc>
        <w:tc>
          <w:tcPr>
            <w:tcW w:w="1335" w:type="dxa"/>
            <w:vAlign w:val="center"/>
          </w:tcPr>
          <w:p w14:paraId="7A60ACFE"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预期方向</w:t>
            </w:r>
          </w:p>
        </w:tc>
        <w:tc>
          <w:tcPr>
            <w:tcW w:w="1228" w:type="dxa"/>
            <w:vAlign w:val="center"/>
          </w:tcPr>
          <w:p w14:paraId="69D9946A"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数据来源</w:t>
            </w:r>
          </w:p>
        </w:tc>
      </w:tr>
      <w:tr w:rsidR="005B623A" w14:paraId="3694B370" w14:textId="77777777" w:rsidTr="0022082E">
        <w:trPr>
          <w:tblCellSpacing w:w="15" w:type="dxa"/>
          <w:jc w:val="center"/>
        </w:trPr>
        <w:tc>
          <w:tcPr>
            <w:tcW w:w="1676" w:type="dxa"/>
            <w:vAlign w:val="center"/>
          </w:tcPr>
          <w:p w14:paraId="688AA2F1"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农村固定宽带用户数</w:t>
            </w:r>
          </w:p>
        </w:tc>
        <w:tc>
          <w:tcPr>
            <w:tcW w:w="1245" w:type="dxa"/>
            <w:vAlign w:val="center"/>
          </w:tcPr>
          <w:p w14:paraId="2999E95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万户</w:t>
            </w:r>
          </w:p>
        </w:tc>
        <w:tc>
          <w:tcPr>
            <w:tcW w:w="1335" w:type="dxa"/>
            <w:vAlign w:val="center"/>
          </w:tcPr>
          <w:p w14:paraId="109A919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1228" w:type="dxa"/>
            <w:vAlign w:val="center"/>
          </w:tcPr>
          <w:p w14:paraId="14D1256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榆林统计年鉴</w:t>
            </w:r>
          </w:p>
        </w:tc>
      </w:tr>
      <w:tr w:rsidR="005B623A" w14:paraId="3FC92FEF" w14:textId="77777777" w:rsidTr="0022082E">
        <w:trPr>
          <w:tblCellSpacing w:w="15" w:type="dxa"/>
          <w:jc w:val="center"/>
        </w:trPr>
        <w:tc>
          <w:tcPr>
            <w:tcW w:w="1676" w:type="dxa"/>
            <w:vAlign w:val="center"/>
          </w:tcPr>
          <w:p w14:paraId="01B4B36C"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信息传输业产值</w:t>
            </w:r>
          </w:p>
        </w:tc>
        <w:tc>
          <w:tcPr>
            <w:tcW w:w="1245" w:type="dxa"/>
            <w:vAlign w:val="center"/>
          </w:tcPr>
          <w:p w14:paraId="0C53E0A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亿元</w:t>
            </w:r>
          </w:p>
        </w:tc>
        <w:tc>
          <w:tcPr>
            <w:tcW w:w="1335" w:type="dxa"/>
            <w:vAlign w:val="center"/>
          </w:tcPr>
          <w:p w14:paraId="08DDEC72"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1228" w:type="dxa"/>
            <w:vAlign w:val="center"/>
          </w:tcPr>
          <w:p w14:paraId="44C474FF"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榆林统计年鉴</w:t>
            </w:r>
          </w:p>
        </w:tc>
      </w:tr>
      <w:tr w:rsidR="005B623A" w14:paraId="6DB3A4BE" w14:textId="77777777" w:rsidTr="0022082E">
        <w:trPr>
          <w:tblCellSpacing w:w="15" w:type="dxa"/>
          <w:jc w:val="center"/>
        </w:trPr>
        <w:tc>
          <w:tcPr>
            <w:tcW w:w="1676" w:type="dxa"/>
            <w:vAlign w:val="center"/>
          </w:tcPr>
          <w:p w14:paraId="2440B9D8" w14:textId="77777777" w:rsidR="005B623A" w:rsidRDefault="00000000">
            <w:pPr>
              <w:widowControl/>
              <w:adjustRightInd/>
              <w:snapToGrid/>
              <w:spacing w:after="62" w:line="560" w:lineRule="atLeast"/>
              <w:ind w:firstLineChars="200" w:firstLine="480"/>
              <w:jc w:val="left"/>
            </w:pPr>
            <w:proofErr w:type="gramStart"/>
            <w:r>
              <w:rPr>
                <w:rFonts w:ascii="宋体" w:eastAsia="宋体" w:hAnsi="宋体" w:cs="宋体"/>
                <w:kern w:val="0"/>
                <w:lang w:bidi="ar"/>
              </w:rPr>
              <w:t>农业电</w:t>
            </w:r>
            <w:proofErr w:type="gramEnd"/>
            <w:r>
              <w:rPr>
                <w:rFonts w:ascii="宋体" w:eastAsia="宋体" w:hAnsi="宋体" w:cs="宋体"/>
                <w:kern w:val="0"/>
                <w:lang w:bidi="ar"/>
              </w:rPr>
              <w:t>商交易额</w:t>
            </w:r>
          </w:p>
        </w:tc>
        <w:tc>
          <w:tcPr>
            <w:tcW w:w="1245" w:type="dxa"/>
            <w:vAlign w:val="center"/>
          </w:tcPr>
          <w:p w14:paraId="62265B0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亿元</w:t>
            </w:r>
          </w:p>
        </w:tc>
        <w:tc>
          <w:tcPr>
            <w:tcW w:w="1335" w:type="dxa"/>
            <w:vAlign w:val="center"/>
          </w:tcPr>
          <w:p w14:paraId="747EE0EC"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1228" w:type="dxa"/>
            <w:vAlign w:val="center"/>
          </w:tcPr>
          <w:p w14:paraId="4287C59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榆林统计年鉴</w:t>
            </w:r>
          </w:p>
        </w:tc>
      </w:tr>
      <w:tr w:rsidR="005B623A" w14:paraId="35C2676C" w14:textId="77777777" w:rsidTr="0022082E">
        <w:trPr>
          <w:tblCellSpacing w:w="15" w:type="dxa"/>
          <w:jc w:val="center"/>
        </w:trPr>
        <w:tc>
          <w:tcPr>
            <w:tcW w:w="1676" w:type="dxa"/>
            <w:vAlign w:val="center"/>
          </w:tcPr>
          <w:p w14:paraId="1FC3EF0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智慧农业应用面积</w:t>
            </w:r>
          </w:p>
        </w:tc>
        <w:tc>
          <w:tcPr>
            <w:tcW w:w="1245" w:type="dxa"/>
            <w:vAlign w:val="center"/>
          </w:tcPr>
          <w:p w14:paraId="3AB5CFDC" w14:textId="77777777" w:rsidR="005B623A" w:rsidRDefault="00000000">
            <w:pPr>
              <w:widowControl/>
              <w:adjustRightInd/>
              <w:snapToGrid/>
              <w:spacing w:after="62" w:line="560" w:lineRule="atLeast"/>
              <w:ind w:firstLineChars="200" w:firstLine="480"/>
              <w:jc w:val="left"/>
            </w:pPr>
            <w:proofErr w:type="gramStart"/>
            <w:r>
              <w:rPr>
                <w:rFonts w:ascii="宋体" w:eastAsia="宋体" w:hAnsi="宋体" w:cs="宋体"/>
                <w:kern w:val="0"/>
                <w:lang w:bidi="ar"/>
              </w:rPr>
              <w:t>万公顷</w:t>
            </w:r>
            <w:proofErr w:type="gramEnd"/>
          </w:p>
        </w:tc>
        <w:tc>
          <w:tcPr>
            <w:tcW w:w="1335" w:type="dxa"/>
            <w:vAlign w:val="center"/>
          </w:tcPr>
          <w:p w14:paraId="6BF40F7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1228" w:type="dxa"/>
            <w:vAlign w:val="center"/>
          </w:tcPr>
          <w:p w14:paraId="0D028C0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榆林统计年鉴</w:t>
            </w:r>
          </w:p>
        </w:tc>
      </w:tr>
    </w:tbl>
    <w:p w14:paraId="7E065846"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构建步骤同上，KMO=0.768，第一主成分解释方差44.14%（相对较低，后文采用熵值法稳健性检验）。</w:t>
      </w:r>
    </w:p>
    <w:p w14:paraId="54755E8E"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 xml:space="preserve">3．控制变量（表4-3） </w:t>
      </w:r>
    </w:p>
    <w:p w14:paraId="35B9416F" w14:textId="77777777" w:rsidR="005B623A" w:rsidRDefault="00000000">
      <w:pPr>
        <w:pStyle w:val="af3"/>
        <w:widowControl/>
        <w:adjustRightInd/>
        <w:snapToGrid/>
        <w:spacing w:after="62" w:line="560" w:lineRule="atLeast"/>
        <w:ind w:firstLineChars="200" w:firstLine="482"/>
        <w:jc w:val="center"/>
      </w:pPr>
      <w:r>
        <w:rPr>
          <w:rStyle w:val="af6"/>
        </w:rPr>
        <w:t>表</w:t>
      </w:r>
      <w:r>
        <w:rPr>
          <w:rStyle w:val="af6"/>
        </w:rPr>
        <w:t>4-3</w:t>
      </w:r>
      <w:r>
        <w:rPr>
          <w:rStyle w:val="af6"/>
        </w:rPr>
        <w:t xml:space="preserve">　控制变量</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1276"/>
        <w:gridCol w:w="872"/>
        <w:gridCol w:w="1295"/>
      </w:tblGrid>
      <w:tr w:rsidR="005B623A" w14:paraId="43783866" w14:textId="77777777" w:rsidTr="0022082E">
        <w:trPr>
          <w:tblHeader/>
          <w:tblCellSpacing w:w="15" w:type="dxa"/>
          <w:jc w:val="center"/>
        </w:trPr>
        <w:tc>
          <w:tcPr>
            <w:tcW w:w="1666" w:type="dxa"/>
            <w:vAlign w:val="center"/>
          </w:tcPr>
          <w:p w14:paraId="1F0FFC9E"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变量名称</w:t>
            </w:r>
          </w:p>
        </w:tc>
        <w:tc>
          <w:tcPr>
            <w:tcW w:w="1246" w:type="dxa"/>
            <w:vAlign w:val="center"/>
          </w:tcPr>
          <w:p w14:paraId="435B0334"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单位</w:t>
            </w:r>
          </w:p>
        </w:tc>
        <w:tc>
          <w:tcPr>
            <w:tcW w:w="842" w:type="dxa"/>
            <w:vAlign w:val="center"/>
          </w:tcPr>
          <w:p w14:paraId="1596B883"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预期方向</w:t>
            </w:r>
          </w:p>
        </w:tc>
        <w:tc>
          <w:tcPr>
            <w:tcW w:w="0" w:type="auto"/>
            <w:vAlign w:val="center"/>
          </w:tcPr>
          <w:p w14:paraId="52312C2A"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数据来源</w:t>
            </w:r>
          </w:p>
        </w:tc>
      </w:tr>
      <w:tr w:rsidR="005B623A" w14:paraId="581A3D33" w14:textId="77777777" w:rsidTr="0022082E">
        <w:trPr>
          <w:tblCellSpacing w:w="15" w:type="dxa"/>
          <w:jc w:val="center"/>
        </w:trPr>
        <w:tc>
          <w:tcPr>
            <w:tcW w:w="1666" w:type="dxa"/>
            <w:vAlign w:val="center"/>
          </w:tcPr>
          <w:p w14:paraId="7618858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乡村从业人员数</w:t>
            </w:r>
          </w:p>
        </w:tc>
        <w:tc>
          <w:tcPr>
            <w:tcW w:w="1246" w:type="dxa"/>
            <w:vAlign w:val="center"/>
          </w:tcPr>
          <w:p w14:paraId="25C7A280"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万人</w:t>
            </w:r>
          </w:p>
        </w:tc>
        <w:tc>
          <w:tcPr>
            <w:tcW w:w="842" w:type="dxa"/>
            <w:vAlign w:val="center"/>
          </w:tcPr>
          <w:p w14:paraId="76B1D825"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不确定</w:t>
            </w:r>
          </w:p>
        </w:tc>
        <w:tc>
          <w:tcPr>
            <w:tcW w:w="0" w:type="auto"/>
            <w:vAlign w:val="center"/>
          </w:tcPr>
          <w:p w14:paraId="1FBE06D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统计年鉴</w:t>
            </w:r>
          </w:p>
        </w:tc>
      </w:tr>
      <w:tr w:rsidR="005B623A" w14:paraId="49CBB81C" w14:textId="77777777" w:rsidTr="0022082E">
        <w:trPr>
          <w:tblCellSpacing w:w="15" w:type="dxa"/>
          <w:jc w:val="center"/>
        </w:trPr>
        <w:tc>
          <w:tcPr>
            <w:tcW w:w="1666" w:type="dxa"/>
            <w:vAlign w:val="center"/>
          </w:tcPr>
          <w:p w14:paraId="01AAC37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农林牧渔业总产值</w:t>
            </w:r>
          </w:p>
        </w:tc>
        <w:tc>
          <w:tcPr>
            <w:tcW w:w="1246" w:type="dxa"/>
            <w:vAlign w:val="center"/>
          </w:tcPr>
          <w:p w14:paraId="0F19825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亿元</w:t>
            </w:r>
          </w:p>
        </w:tc>
        <w:tc>
          <w:tcPr>
            <w:tcW w:w="842" w:type="dxa"/>
            <w:vAlign w:val="center"/>
          </w:tcPr>
          <w:p w14:paraId="60A978A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0" w:type="auto"/>
            <w:vAlign w:val="center"/>
          </w:tcPr>
          <w:p w14:paraId="6087837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统计年鉴</w:t>
            </w:r>
          </w:p>
        </w:tc>
      </w:tr>
      <w:tr w:rsidR="005B623A" w14:paraId="1836D346" w14:textId="77777777" w:rsidTr="0022082E">
        <w:trPr>
          <w:tblCellSpacing w:w="15" w:type="dxa"/>
          <w:jc w:val="center"/>
        </w:trPr>
        <w:tc>
          <w:tcPr>
            <w:tcW w:w="1666" w:type="dxa"/>
            <w:vAlign w:val="center"/>
          </w:tcPr>
          <w:p w14:paraId="2762ED61"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lastRenderedPageBreak/>
              <w:t>农业补贴金额</w:t>
            </w:r>
          </w:p>
        </w:tc>
        <w:tc>
          <w:tcPr>
            <w:tcW w:w="1246" w:type="dxa"/>
            <w:vAlign w:val="center"/>
          </w:tcPr>
          <w:p w14:paraId="1939689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亿元</w:t>
            </w:r>
          </w:p>
        </w:tc>
        <w:tc>
          <w:tcPr>
            <w:tcW w:w="842" w:type="dxa"/>
            <w:vAlign w:val="center"/>
          </w:tcPr>
          <w:p w14:paraId="4A6E7E90"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0" w:type="auto"/>
            <w:vAlign w:val="center"/>
          </w:tcPr>
          <w:p w14:paraId="0BFA3102"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财政局年报</w:t>
            </w:r>
          </w:p>
        </w:tc>
      </w:tr>
      <w:tr w:rsidR="005B623A" w14:paraId="1C7D4992" w14:textId="77777777" w:rsidTr="0022082E">
        <w:trPr>
          <w:tblCellSpacing w:w="15" w:type="dxa"/>
          <w:jc w:val="center"/>
        </w:trPr>
        <w:tc>
          <w:tcPr>
            <w:tcW w:w="1666" w:type="dxa"/>
            <w:vAlign w:val="center"/>
          </w:tcPr>
          <w:p w14:paraId="0A53EB1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年末总人口</w:t>
            </w:r>
          </w:p>
        </w:tc>
        <w:tc>
          <w:tcPr>
            <w:tcW w:w="1246" w:type="dxa"/>
            <w:vAlign w:val="center"/>
          </w:tcPr>
          <w:p w14:paraId="506E8FD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万人</w:t>
            </w:r>
          </w:p>
        </w:tc>
        <w:tc>
          <w:tcPr>
            <w:tcW w:w="842" w:type="dxa"/>
            <w:vAlign w:val="center"/>
          </w:tcPr>
          <w:p w14:paraId="3C913E0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不确定</w:t>
            </w:r>
          </w:p>
        </w:tc>
        <w:tc>
          <w:tcPr>
            <w:tcW w:w="0" w:type="auto"/>
            <w:vAlign w:val="center"/>
          </w:tcPr>
          <w:p w14:paraId="2B05E70B"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统计年鉴</w:t>
            </w:r>
          </w:p>
        </w:tc>
      </w:tr>
      <w:tr w:rsidR="005B623A" w14:paraId="3A04FAAA" w14:textId="77777777" w:rsidTr="0022082E">
        <w:trPr>
          <w:tblCellSpacing w:w="15" w:type="dxa"/>
          <w:jc w:val="center"/>
        </w:trPr>
        <w:tc>
          <w:tcPr>
            <w:tcW w:w="1666" w:type="dxa"/>
            <w:vAlign w:val="center"/>
          </w:tcPr>
          <w:p w14:paraId="0D7C1ED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总耕地面积</w:t>
            </w:r>
          </w:p>
        </w:tc>
        <w:tc>
          <w:tcPr>
            <w:tcW w:w="1246" w:type="dxa"/>
            <w:vAlign w:val="center"/>
          </w:tcPr>
          <w:p w14:paraId="6DB7C571" w14:textId="77777777" w:rsidR="005B623A" w:rsidRDefault="00000000">
            <w:pPr>
              <w:widowControl/>
              <w:adjustRightInd/>
              <w:snapToGrid/>
              <w:spacing w:after="62" w:line="560" w:lineRule="atLeast"/>
              <w:ind w:firstLineChars="200" w:firstLine="480"/>
              <w:jc w:val="left"/>
            </w:pPr>
            <w:proofErr w:type="gramStart"/>
            <w:r>
              <w:rPr>
                <w:rFonts w:ascii="宋体" w:eastAsia="宋体" w:hAnsi="宋体" w:cs="宋体"/>
                <w:kern w:val="0"/>
                <w:lang w:bidi="ar"/>
              </w:rPr>
              <w:t>千公顷</w:t>
            </w:r>
            <w:proofErr w:type="gramEnd"/>
          </w:p>
        </w:tc>
        <w:tc>
          <w:tcPr>
            <w:tcW w:w="842" w:type="dxa"/>
            <w:vAlign w:val="center"/>
          </w:tcPr>
          <w:p w14:paraId="3E1E67C1"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0" w:type="auto"/>
            <w:vAlign w:val="center"/>
          </w:tcPr>
          <w:p w14:paraId="2F7F199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自然资源局</w:t>
            </w:r>
          </w:p>
        </w:tc>
      </w:tr>
      <w:tr w:rsidR="005B623A" w14:paraId="047EE009" w14:textId="77777777" w:rsidTr="0022082E">
        <w:trPr>
          <w:tblCellSpacing w:w="15" w:type="dxa"/>
          <w:jc w:val="center"/>
        </w:trPr>
        <w:tc>
          <w:tcPr>
            <w:tcW w:w="1666" w:type="dxa"/>
            <w:vAlign w:val="center"/>
          </w:tcPr>
          <w:p w14:paraId="6C111290"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有效灌溉面积</w:t>
            </w:r>
          </w:p>
        </w:tc>
        <w:tc>
          <w:tcPr>
            <w:tcW w:w="1246" w:type="dxa"/>
            <w:vAlign w:val="center"/>
          </w:tcPr>
          <w:p w14:paraId="6602111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公顷</w:t>
            </w:r>
          </w:p>
        </w:tc>
        <w:tc>
          <w:tcPr>
            <w:tcW w:w="842" w:type="dxa"/>
            <w:vAlign w:val="center"/>
          </w:tcPr>
          <w:p w14:paraId="7856F6C5"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正向</w:t>
            </w:r>
          </w:p>
        </w:tc>
        <w:tc>
          <w:tcPr>
            <w:tcW w:w="0" w:type="auto"/>
            <w:vAlign w:val="center"/>
          </w:tcPr>
          <w:p w14:paraId="3B45EC1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水利局年报</w:t>
            </w:r>
          </w:p>
        </w:tc>
      </w:tr>
    </w:tbl>
    <w:p w14:paraId="12657D28"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所有变量进行标准化处理。</w:t>
      </w:r>
    </w:p>
    <w:p w14:paraId="5A7F30BC" w14:textId="77777777" w:rsidR="005B623A" w:rsidRDefault="00000000">
      <w:pPr>
        <w:pStyle w:val="2"/>
        <w:spacing w:after="62"/>
      </w:pPr>
      <w:r>
        <w:rPr>
          <w:rFonts w:hint="eastAsia"/>
        </w:rPr>
        <w:t>（四）模型设定与方法选择</w:t>
      </w:r>
    </w:p>
    <w:p w14:paraId="5C7D87E4"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样本量仅13年，传统固定效应模型存在自由度不足、多重共线性（VIF&gt;20）以及难以捕捉非线性关系等问题。因此，本文采用三种机器学习回归模型进行探索性分析，并以留一法交叉验证（LOOCV）评估样本内预测性能：</w:t>
      </w:r>
    </w:p>
    <w:p w14:paraId="56D32FBC"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1.随机森林（</w:t>
      </w:r>
      <w:proofErr w:type="spellStart"/>
      <w:r>
        <w:rPr>
          <w:rFonts w:ascii="宋体" w:eastAsia="宋体" w:hAnsi="宋体" w:cs="宋体" w:hint="eastAsia"/>
          <w:sz w:val="28"/>
          <w:szCs w:val="28"/>
        </w:rPr>
        <w:t>n_estimators</w:t>
      </w:r>
      <w:proofErr w:type="spellEnd"/>
      <w:r>
        <w:rPr>
          <w:rFonts w:ascii="宋体" w:eastAsia="宋体" w:hAnsi="宋体" w:cs="宋体" w:hint="eastAsia"/>
          <w:sz w:val="28"/>
          <w:szCs w:val="28"/>
        </w:rPr>
        <w:t>=500，</w:t>
      </w:r>
      <w:proofErr w:type="spellStart"/>
      <w:r>
        <w:rPr>
          <w:rFonts w:ascii="宋体" w:eastAsia="宋体" w:hAnsi="宋体" w:cs="宋体" w:hint="eastAsia"/>
          <w:sz w:val="28"/>
          <w:szCs w:val="28"/>
        </w:rPr>
        <w:t>random_state</w:t>
      </w:r>
      <w:proofErr w:type="spellEnd"/>
      <w:r>
        <w:rPr>
          <w:rFonts w:ascii="宋体" w:eastAsia="宋体" w:hAnsi="宋体" w:cs="宋体" w:hint="eastAsia"/>
          <w:sz w:val="28"/>
          <w:szCs w:val="28"/>
        </w:rPr>
        <w:t>=42）2.XGBoost（</w:t>
      </w:r>
      <w:proofErr w:type="spellStart"/>
      <w:r>
        <w:rPr>
          <w:rFonts w:ascii="宋体" w:eastAsia="宋体" w:hAnsi="宋体" w:cs="宋体" w:hint="eastAsia"/>
          <w:sz w:val="28"/>
          <w:szCs w:val="28"/>
        </w:rPr>
        <w:t>n_estimators</w:t>
      </w:r>
      <w:proofErr w:type="spellEnd"/>
      <w:r>
        <w:rPr>
          <w:rFonts w:ascii="宋体" w:eastAsia="宋体" w:hAnsi="宋体" w:cs="宋体" w:hint="eastAsia"/>
          <w:sz w:val="28"/>
          <w:szCs w:val="28"/>
        </w:rPr>
        <w:t>=300，</w:t>
      </w:r>
      <w:proofErr w:type="spellStart"/>
      <w:r>
        <w:rPr>
          <w:rFonts w:ascii="宋体" w:eastAsia="宋体" w:hAnsi="宋体" w:cs="宋体" w:hint="eastAsia"/>
          <w:sz w:val="28"/>
          <w:szCs w:val="28"/>
        </w:rPr>
        <w:t>learning_rate</w:t>
      </w:r>
      <w:proofErr w:type="spellEnd"/>
      <w:r>
        <w:rPr>
          <w:rFonts w:ascii="宋体" w:eastAsia="宋体" w:hAnsi="宋体" w:cs="宋体" w:hint="eastAsia"/>
          <w:sz w:val="28"/>
          <w:szCs w:val="28"/>
        </w:rPr>
        <w:t>=0.05，</w:t>
      </w:r>
      <w:proofErr w:type="spellStart"/>
      <w:r>
        <w:rPr>
          <w:rFonts w:ascii="宋体" w:eastAsia="宋体" w:hAnsi="宋体" w:cs="宋体" w:hint="eastAsia"/>
          <w:sz w:val="28"/>
          <w:szCs w:val="28"/>
        </w:rPr>
        <w:t>max_depth</w:t>
      </w:r>
      <w:proofErr w:type="spellEnd"/>
      <w:r>
        <w:rPr>
          <w:rFonts w:ascii="宋体" w:eastAsia="宋体" w:hAnsi="宋体" w:cs="宋体" w:hint="eastAsia"/>
          <w:sz w:val="28"/>
          <w:szCs w:val="28"/>
        </w:rPr>
        <w:t>=4，</w:t>
      </w:r>
      <w:proofErr w:type="spellStart"/>
      <w:r>
        <w:rPr>
          <w:rFonts w:ascii="宋体" w:eastAsia="宋体" w:hAnsi="宋体" w:cs="宋体" w:hint="eastAsia"/>
          <w:sz w:val="28"/>
          <w:szCs w:val="28"/>
        </w:rPr>
        <w:t>random_state</w:t>
      </w:r>
      <w:proofErr w:type="spellEnd"/>
      <w:r>
        <w:rPr>
          <w:rFonts w:ascii="宋体" w:eastAsia="宋体" w:hAnsi="宋体" w:cs="宋体" w:hint="eastAsia"/>
          <w:sz w:val="28"/>
          <w:szCs w:val="28"/>
        </w:rPr>
        <w:t>=42）3.多层感知机（</w:t>
      </w:r>
      <w:proofErr w:type="spellStart"/>
      <w:r>
        <w:rPr>
          <w:rFonts w:ascii="宋体" w:eastAsia="宋体" w:hAnsi="宋体" w:cs="宋体" w:hint="eastAsia"/>
          <w:sz w:val="28"/>
          <w:szCs w:val="28"/>
        </w:rPr>
        <w:t>hidden_layer_sizes</w:t>
      </w:r>
      <w:proofErr w:type="spellEnd"/>
      <w:r>
        <w:rPr>
          <w:rFonts w:ascii="宋体" w:eastAsia="宋体" w:hAnsi="宋体" w:cs="宋体" w:hint="eastAsia"/>
          <w:sz w:val="28"/>
          <w:szCs w:val="28"/>
        </w:rPr>
        <w:t>=(100,50,20)，activation='</w:t>
      </w:r>
      <w:proofErr w:type="spellStart"/>
      <w:r>
        <w:rPr>
          <w:rFonts w:ascii="宋体" w:eastAsia="宋体" w:hAnsi="宋体" w:cs="宋体" w:hint="eastAsia"/>
          <w:sz w:val="28"/>
          <w:szCs w:val="28"/>
        </w:rPr>
        <w:t>relu</w:t>
      </w:r>
      <w:proofErr w:type="spellEnd"/>
      <w:r>
        <w:rPr>
          <w:rFonts w:ascii="宋体" w:eastAsia="宋体" w:hAnsi="宋体" w:cs="宋体" w:hint="eastAsia"/>
          <w:sz w:val="28"/>
          <w:szCs w:val="28"/>
        </w:rPr>
        <w:t>'，</w:t>
      </w:r>
      <w:proofErr w:type="spellStart"/>
      <w:r>
        <w:rPr>
          <w:rFonts w:ascii="宋体" w:eastAsia="宋体" w:hAnsi="宋体" w:cs="宋体" w:hint="eastAsia"/>
          <w:sz w:val="28"/>
          <w:szCs w:val="28"/>
        </w:rPr>
        <w:t>max_iter</w:t>
      </w:r>
      <w:proofErr w:type="spellEnd"/>
      <w:r>
        <w:rPr>
          <w:rFonts w:ascii="宋体" w:eastAsia="宋体" w:hAnsi="宋体" w:cs="宋体" w:hint="eastAsia"/>
          <w:sz w:val="28"/>
          <w:szCs w:val="28"/>
        </w:rPr>
        <w:t>=10000，</w:t>
      </w:r>
      <w:proofErr w:type="spellStart"/>
      <w:r>
        <w:rPr>
          <w:rFonts w:ascii="宋体" w:eastAsia="宋体" w:hAnsi="宋体" w:cs="宋体" w:hint="eastAsia"/>
          <w:sz w:val="28"/>
          <w:szCs w:val="28"/>
        </w:rPr>
        <w:t>random_state</w:t>
      </w:r>
      <w:proofErr w:type="spellEnd"/>
      <w:r>
        <w:rPr>
          <w:rFonts w:ascii="宋体" w:eastAsia="宋体" w:hAnsi="宋体" w:cs="宋体" w:hint="eastAsia"/>
          <w:sz w:val="28"/>
          <w:szCs w:val="28"/>
        </w:rPr>
        <w:t>=42）</w:t>
      </w:r>
    </w:p>
    <w:p w14:paraId="7EDB2D70"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特征重要性采用Gini Importance（RF、</w:t>
      </w:r>
      <w:proofErr w:type="spellStart"/>
      <w:r>
        <w:rPr>
          <w:rFonts w:ascii="宋体" w:eastAsia="宋体" w:hAnsi="宋体" w:cs="宋体" w:hint="eastAsia"/>
          <w:sz w:val="28"/>
          <w:szCs w:val="28"/>
        </w:rPr>
        <w:t>XGBoost</w:t>
      </w:r>
      <w:proofErr w:type="spellEnd"/>
      <w:r>
        <w:rPr>
          <w:rFonts w:ascii="宋体" w:eastAsia="宋体" w:hAnsi="宋体" w:cs="宋体" w:hint="eastAsia"/>
          <w:sz w:val="28"/>
          <w:szCs w:val="28"/>
        </w:rPr>
        <w:t>）与Permutation Importance（MLP），取三种模型平均值。</w:t>
      </w:r>
    </w:p>
    <w:p w14:paraId="396B2257" w14:textId="77777777" w:rsidR="005B623A" w:rsidRDefault="00000000">
      <w:pPr>
        <w:pStyle w:val="2"/>
        <w:spacing w:after="62"/>
      </w:pPr>
      <w:r>
        <w:rPr>
          <w:rFonts w:hint="eastAsia"/>
        </w:rPr>
        <w:lastRenderedPageBreak/>
        <w:t>（五）描述性统计</w:t>
      </w:r>
    </w:p>
    <w:p w14:paraId="5E1138CC"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标准化后主要变量描述性统计见表4-4。2010—2022年，两指数均呈上升趋势，Pearson相关系数为0.912（p&lt;0.01），显示较强的同步性。</w:t>
      </w:r>
    </w:p>
    <w:p w14:paraId="55BCD81A" w14:textId="77777777" w:rsidR="005B623A" w:rsidRDefault="00000000">
      <w:pPr>
        <w:pStyle w:val="af3"/>
        <w:widowControl/>
        <w:adjustRightInd/>
        <w:snapToGrid/>
        <w:spacing w:after="62" w:line="560" w:lineRule="atLeast"/>
        <w:ind w:firstLineChars="200" w:firstLine="482"/>
        <w:jc w:val="center"/>
      </w:pPr>
      <w:r>
        <w:rPr>
          <w:rStyle w:val="af6"/>
        </w:rPr>
        <w:t>表</w:t>
      </w:r>
      <w:r>
        <w:rPr>
          <w:rStyle w:val="af6"/>
        </w:rPr>
        <w:t>4-4</w:t>
      </w:r>
      <w:r>
        <w:rPr>
          <w:rStyle w:val="af6"/>
        </w:rPr>
        <w:t xml:space="preserve">　主要变量描述性统计（标准化后）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1134"/>
        <w:gridCol w:w="992"/>
        <w:gridCol w:w="901"/>
        <w:gridCol w:w="1226"/>
      </w:tblGrid>
      <w:tr w:rsidR="005B623A" w14:paraId="30848487" w14:textId="77777777" w:rsidTr="0022082E">
        <w:trPr>
          <w:tblHeader/>
          <w:tblCellSpacing w:w="15" w:type="dxa"/>
          <w:jc w:val="center"/>
        </w:trPr>
        <w:tc>
          <w:tcPr>
            <w:tcW w:w="2069" w:type="dxa"/>
            <w:vAlign w:val="center"/>
          </w:tcPr>
          <w:p w14:paraId="48BB5029"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变量</w:t>
            </w:r>
          </w:p>
        </w:tc>
        <w:tc>
          <w:tcPr>
            <w:tcW w:w="1104" w:type="dxa"/>
            <w:vAlign w:val="center"/>
          </w:tcPr>
          <w:p w14:paraId="54FF1241"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均值</w:t>
            </w:r>
          </w:p>
        </w:tc>
        <w:tc>
          <w:tcPr>
            <w:tcW w:w="962" w:type="dxa"/>
            <w:vAlign w:val="center"/>
          </w:tcPr>
          <w:p w14:paraId="586C2DE4"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标准差</w:t>
            </w:r>
          </w:p>
        </w:tc>
        <w:tc>
          <w:tcPr>
            <w:tcW w:w="871" w:type="dxa"/>
            <w:vAlign w:val="center"/>
          </w:tcPr>
          <w:p w14:paraId="49295B58"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最小值</w:t>
            </w:r>
          </w:p>
        </w:tc>
        <w:tc>
          <w:tcPr>
            <w:tcW w:w="1181" w:type="dxa"/>
            <w:vAlign w:val="center"/>
          </w:tcPr>
          <w:p w14:paraId="52A21ECD"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最大值</w:t>
            </w:r>
          </w:p>
        </w:tc>
      </w:tr>
      <w:tr w:rsidR="005B623A" w14:paraId="2A4A2150" w14:textId="77777777" w:rsidTr="0022082E">
        <w:trPr>
          <w:tblCellSpacing w:w="15" w:type="dxa"/>
          <w:jc w:val="center"/>
        </w:trPr>
        <w:tc>
          <w:tcPr>
            <w:tcW w:w="2069" w:type="dxa"/>
            <w:vAlign w:val="center"/>
          </w:tcPr>
          <w:p w14:paraId="66DCF1A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农业绿色高质量发展指数</w:t>
            </w:r>
          </w:p>
        </w:tc>
        <w:tc>
          <w:tcPr>
            <w:tcW w:w="1104" w:type="dxa"/>
            <w:vAlign w:val="center"/>
          </w:tcPr>
          <w:p w14:paraId="452F7FD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0.412</w:t>
            </w:r>
          </w:p>
        </w:tc>
        <w:tc>
          <w:tcPr>
            <w:tcW w:w="962" w:type="dxa"/>
            <w:vAlign w:val="center"/>
          </w:tcPr>
          <w:p w14:paraId="4A49263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0.298</w:t>
            </w:r>
          </w:p>
        </w:tc>
        <w:tc>
          <w:tcPr>
            <w:tcW w:w="871" w:type="dxa"/>
            <w:vAlign w:val="center"/>
          </w:tcPr>
          <w:p w14:paraId="734BD92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0.000</w:t>
            </w:r>
          </w:p>
        </w:tc>
        <w:tc>
          <w:tcPr>
            <w:tcW w:w="1181" w:type="dxa"/>
            <w:vAlign w:val="center"/>
          </w:tcPr>
          <w:p w14:paraId="3FD6B0D1"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1.000</w:t>
            </w:r>
          </w:p>
        </w:tc>
      </w:tr>
      <w:tr w:rsidR="005B623A" w14:paraId="37BEDA05" w14:textId="77777777" w:rsidTr="0022082E">
        <w:trPr>
          <w:tblCellSpacing w:w="15" w:type="dxa"/>
          <w:jc w:val="center"/>
        </w:trPr>
        <w:tc>
          <w:tcPr>
            <w:tcW w:w="2069" w:type="dxa"/>
            <w:vAlign w:val="center"/>
          </w:tcPr>
          <w:p w14:paraId="78ECB64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数字经济指数</w:t>
            </w:r>
          </w:p>
        </w:tc>
        <w:tc>
          <w:tcPr>
            <w:tcW w:w="1104" w:type="dxa"/>
            <w:vAlign w:val="center"/>
          </w:tcPr>
          <w:p w14:paraId="2C1AA9A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0.385</w:t>
            </w:r>
          </w:p>
        </w:tc>
        <w:tc>
          <w:tcPr>
            <w:tcW w:w="962" w:type="dxa"/>
            <w:vAlign w:val="center"/>
          </w:tcPr>
          <w:p w14:paraId="15EC158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0.312</w:t>
            </w:r>
          </w:p>
        </w:tc>
        <w:tc>
          <w:tcPr>
            <w:tcW w:w="871" w:type="dxa"/>
            <w:vAlign w:val="center"/>
          </w:tcPr>
          <w:p w14:paraId="1D01F6E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0.000</w:t>
            </w:r>
          </w:p>
        </w:tc>
        <w:tc>
          <w:tcPr>
            <w:tcW w:w="1181" w:type="dxa"/>
            <w:vAlign w:val="center"/>
          </w:tcPr>
          <w:p w14:paraId="6F695A6C"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1.000</w:t>
            </w:r>
          </w:p>
        </w:tc>
      </w:tr>
      <w:tr w:rsidR="005B623A" w14:paraId="7ACBBCE3" w14:textId="77777777" w:rsidTr="0022082E">
        <w:trPr>
          <w:tblCellSpacing w:w="15" w:type="dxa"/>
          <w:jc w:val="center"/>
        </w:trPr>
        <w:tc>
          <w:tcPr>
            <w:tcW w:w="2069" w:type="dxa"/>
            <w:vAlign w:val="center"/>
          </w:tcPr>
          <w:p w14:paraId="2FBEC42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总耕地面积（ln）</w:t>
            </w:r>
          </w:p>
        </w:tc>
        <w:tc>
          <w:tcPr>
            <w:tcW w:w="1104" w:type="dxa"/>
            <w:vAlign w:val="center"/>
          </w:tcPr>
          <w:p w14:paraId="44784AA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13.492</w:t>
            </w:r>
          </w:p>
        </w:tc>
        <w:tc>
          <w:tcPr>
            <w:tcW w:w="962" w:type="dxa"/>
            <w:vAlign w:val="center"/>
          </w:tcPr>
          <w:p w14:paraId="55D41EB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0.187</w:t>
            </w:r>
          </w:p>
        </w:tc>
        <w:tc>
          <w:tcPr>
            <w:tcW w:w="871" w:type="dxa"/>
            <w:vAlign w:val="center"/>
          </w:tcPr>
          <w:p w14:paraId="45AB219B"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13.109</w:t>
            </w:r>
          </w:p>
        </w:tc>
        <w:tc>
          <w:tcPr>
            <w:tcW w:w="1181" w:type="dxa"/>
            <w:vAlign w:val="center"/>
          </w:tcPr>
          <w:p w14:paraId="513509F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13.711</w:t>
            </w:r>
          </w:p>
        </w:tc>
      </w:tr>
      <w:tr w:rsidR="005B623A" w14:paraId="70A19E79" w14:textId="77777777" w:rsidTr="0022082E">
        <w:trPr>
          <w:tblCellSpacing w:w="15" w:type="dxa"/>
          <w:jc w:val="center"/>
        </w:trPr>
        <w:tc>
          <w:tcPr>
            <w:tcW w:w="2069" w:type="dxa"/>
            <w:vAlign w:val="center"/>
          </w:tcPr>
          <w:p w14:paraId="751A5C3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农林牧渔业总产值（ln）</w:t>
            </w:r>
          </w:p>
        </w:tc>
        <w:tc>
          <w:tcPr>
            <w:tcW w:w="1104" w:type="dxa"/>
            <w:vAlign w:val="center"/>
          </w:tcPr>
          <w:p w14:paraId="0F502DF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12.856</w:t>
            </w:r>
          </w:p>
        </w:tc>
        <w:tc>
          <w:tcPr>
            <w:tcW w:w="962" w:type="dxa"/>
            <w:vAlign w:val="center"/>
          </w:tcPr>
          <w:p w14:paraId="11FFB53F"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0.512</w:t>
            </w:r>
          </w:p>
        </w:tc>
        <w:tc>
          <w:tcPr>
            <w:tcW w:w="871" w:type="dxa"/>
            <w:vAlign w:val="center"/>
          </w:tcPr>
          <w:p w14:paraId="19D8EFE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12.058</w:t>
            </w:r>
          </w:p>
        </w:tc>
        <w:tc>
          <w:tcPr>
            <w:tcW w:w="1181" w:type="dxa"/>
            <w:vAlign w:val="center"/>
          </w:tcPr>
          <w:p w14:paraId="3279403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13.522</w:t>
            </w:r>
          </w:p>
        </w:tc>
      </w:tr>
      <w:tr w:rsidR="005B623A" w14:paraId="6190A0F3" w14:textId="77777777" w:rsidTr="0022082E">
        <w:trPr>
          <w:tblCellSpacing w:w="15" w:type="dxa"/>
          <w:jc w:val="center"/>
        </w:trPr>
        <w:tc>
          <w:tcPr>
            <w:tcW w:w="2069" w:type="dxa"/>
            <w:vAlign w:val="center"/>
          </w:tcPr>
          <w:p w14:paraId="03498B0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年末总人口（ln）</w:t>
            </w:r>
          </w:p>
        </w:tc>
        <w:tc>
          <w:tcPr>
            <w:tcW w:w="1104" w:type="dxa"/>
            <w:vAlign w:val="center"/>
          </w:tcPr>
          <w:p w14:paraId="376699B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12.805</w:t>
            </w:r>
          </w:p>
        </w:tc>
        <w:tc>
          <w:tcPr>
            <w:tcW w:w="962" w:type="dxa"/>
            <w:vAlign w:val="center"/>
          </w:tcPr>
          <w:p w14:paraId="762451C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0.021</w:t>
            </w:r>
          </w:p>
        </w:tc>
        <w:tc>
          <w:tcPr>
            <w:tcW w:w="871" w:type="dxa"/>
            <w:vAlign w:val="center"/>
          </w:tcPr>
          <w:p w14:paraId="6A6254FF"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12.805</w:t>
            </w:r>
          </w:p>
        </w:tc>
        <w:tc>
          <w:tcPr>
            <w:tcW w:w="1181" w:type="dxa"/>
            <w:vAlign w:val="center"/>
          </w:tcPr>
          <w:p w14:paraId="5963B7D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12.860</w:t>
            </w:r>
          </w:p>
        </w:tc>
      </w:tr>
      <w:tr w:rsidR="005B623A" w14:paraId="15D3D51F" w14:textId="77777777" w:rsidTr="0022082E">
        <w:trPr>
          <w:tblCellSpacing w:w="15" w:type="dxa"/>
          <w:jc w:val="center"/>
        </w:trPr>
        <w:tc>
          <w:tcPr>
            <w:tcW w:w="2069" w:type="dxa"/>
            <w:vAlign w:val="center"/>
          </w:tcPr>
          <w:p w14:paraId="047B6F0F"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有效灌溉面积（ln）</w:t>
            </w:r>
          </w:p>
        </w:tc>
        <w:tc>
          <w:tcPr>
            <w:tcW w:w="1104" w:type="dxa"/>
            <w:vAlign w:val="center"/>
          </w:tcPr>
          <w:p w14:paraId="0E6051B1"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11.852</w:t>
            </w:r>
          </w:p>
        </w:tc>
        <w:tc>
          <w:tcPr>
            <w:tcW w:w="962" w:type="dxa"/>
            <w:vAlign w:val="center"/>
          </w:tcPr>
          <w:p w14:paraId="202AB27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0.312</w:t>
            </w:r>
          </w:p>
        </w:tc>
        <w:tc>
          <w:tcPr>
            <w:tcW w:w="871" w:type="dxa"/>
            <w:vAlign w:val="center"/>
          </w:tcPr>
          <w:p w14:paraId="210D5DCB"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11.548</w:t>
            </w:r>
          </w:p>
        </w:tc>
        <w:tc>
          <w:tcPr>
            <w:tcW w:w="1181" w:type="dxa"/>
            <w:vAlign w:val="center"/>
          </w:tcPr>
          <w:p w14:paraId="18D3F111"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12.308</w:t>
            </w:r>
          </w:p>
        </w:tc>
      </w:tr>
      <w:tr w:rsidR="005B623A" w14:paraId="1394904F" w14:textId="77777777" w:rsidTr="0022082E">
        <w:trPr>
          <w:tblCellSpacing w:w="15" w:type="dxa"/>
          <w:jc w:val="center"/>
        </w:trPr>
        <w:tc>
          <w:tcPr>
            <w:tcW w:w="2069" w:type="dxa"/>
            <w:vAlign w:val="center"/>
          </w:tcPr>
          <w:p w14:paraId="7AA3C5B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乡村从业人员数（万人）</w:t>
            </w:r>
          </w:p>
        </w:tc>
        <w:tc>
          <w:tcPr>
            <w:tcW w:w="1104" w:type="dxa"/>
            <w:vAlign w:val="center"/>
          </w:tcPr>
          <w:p w14:paraId="77E544A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144.28</w:t>
            </w:r>
          </w:p>
        </w:tc>
        <w:tc>
          <w:tcPr>
            <w:tcW w:w="962" w:type="dxa"/>
            <w:vAlign w:val="center"/>
          </w:tcPr>
          <w:p w14:paraId="318719E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4.12</w:t>
            </w:r>
          </w:p>
        </w:tc>
        <w:tc>
          <w:tcPr>
            <w:tcW w:w="871" w:type="dxa"/>
            <w:vAlign w:val="center"/>
          </w:tcPr>
          <w:p w14:paraId="26FA648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139.45</w:t>
            </w:r>
          </w:p>
        </w:tc>
        <w:tc>
          <w:tcPr>
            <w:tcW w:w="1181" w:type="dxa"/>
            <w:vAlign w:val="center"/>
          </w:tcPr>
          <w:p w14:paraId="6EF04BB0"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148.13</w:t>
            </w:r>
          </w:p>
        </w:tc>
      </w:tr>
      <w:tr w:rsidR="005B623A" w14:paraId="4AB17716" w14:textId="77777777" w:rsidTr="0022082E">
        <w:trPr>
          <w:tblCellSpacing w:w="15" w:type="dxa"/>
          <w:jc w:val="center"/>
        </w:trPr>
        <w:tc>
          <w:tcPr>
            <w:tcW w:w="2069" w:type="dxa"/>
            <w:vAlign w:val="center"/>
          </w:tcPr>
          <w:p w14:paraId="4570D36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农业补贴金额（亿元）</w:t>
            </w:r>
          </w:p>
        </w:tc>
        <w:tc>
          <w:tcPr>
            <w:tcW w:w="1104" w:type="dxa"/>
            <w:vAlign w:val="center"/>
          </w:tcPr>
          <w:p w14:paraId="146C0DA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1687</w:t>
            </w:r>
          </w:p>
        </w:tc>
        <w:tc>
          <w:tcPr>
            <w:tcW w:w="962" w:type="dxa"/>
            <w:vAlign w:val="center"/>
          </w:tcPr>
          <w:p w14:paraId="1054D90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987</w:t>
            </w:r>
          </w:p>
        </w:tc>
        <w:tc>
          <w:tcPr>
            <w:tcW w:w="871" w:type="dxa"/>
            <w:vAlign w:val="center"/>
          </w:tcPr>
          <w:p w14:paraId="2217743B"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360</w:t>
            </w:r>
          </w:p>
        </w:tc>
        <w:tc>
          <w:tcPr>
            <w:tcW w:w="1181" w:type="dxa"/>
            <w:vAlign w:val="center"/>
          </w:tcPr>
          <w:p w14:paraId="78D2D13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3014</w:t>
            </w:r>
          </w:p>
        </w:tc>
      </w:tr>
    </w:tbl>
    <w:p w14:paraId="153258BE" w14:textId="77777777" w:rsidR="005B623A" w:rsidRDefault="00000000">
      <w:pPr>
        <w:pStyle w:val="af3"/>
        <w:widowControl/>
        <w:adjustRightInd/>
        <w:snapToGrid/>
        <w:spacing w:after="62" w:line="560" w:lineRule="atLeast"/>
        <w:ind w:firstLineChars="200" w:firstLine="482"/>
        <w:jc w:val="center"/>
      </w:pPr>
      <w:r>
        <w:rPr>
          <w:rStyle w:val="af6"/>
        </w:rPr>
        <w:lastRenderedPageBreak/>
        <w:t>附表</w:t>
      </w:r>
      <w:r>
        <w:rPr>
          <w:rStyle w:val="af6"/>
        </w:rPr>
        <w:t>1</w:t>
      </w:r>
      <w:r>
        <w:rPr>
          <w:rStyle w:val="af6"/>
        </w:rPr>
        <w:t xml:space="preserve">　关键变量缺失情况</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1701"/>
        <w:gridCol w:w="1470"/>
      </w:tblGrid>
      <w:tr w:rsidR="005B623A" w14:paraId="64B033BD" w14:textId="77777777" w:rsidTr="0022082E">
        <w:trPr>
          <w:tblHeader/>
          <w:tblCellSpacing w:w="15" w:type="dxa"/>
          <w:jc w:val="center"/>
        </w:trPr>
        <w:tc>
          <w:tcPr>
            <w:tcW w:w="1678" w:type="dxa"/>
            <w:vAlign w:val="center"/>
          </w:tcPr>
          <w:p w14:paraId="47832B05"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变量</w:t>
            </w:r>
          </w:p>
        </w:tc>
        <w:tc>
          <w:tcPr>
            <w:tcW w:w="1671" w:type="dxa"/>
            <w:vAlign w:val="center"/>
          </w:tcPr>
          <w:p w14:paraId="0E1628ED"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缺失年份</w:t>
            </w:r>
          </w:p>
        </w:tc>
        <w:tc>
          <w:tcPr>
            <w:tcW w:w="1425" w:type="dxa"/>
            <w:vAlign w:val="center"/>
          </w:tcPr>
          <w:p w14:paraId="032CB1DE"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缺失比例</w:t>
            </w:r>
          </w:p>
        </w:tc>
      </w:tr>
      <w:tr w:rsidR="005B623A" w14:paraId="30BA6CA7" w14:textId="77777777" w:rsidTr="0022082E">
        <w:trPr>
          <w:tblCellSpacing w:w="15" w:type="dxa"/>
          <w:jc w:val="center"/>
        </w:trPr>
        <w:tc>
          <w:tcPr>
            <w:tcW w:w="1678" w:type="dxa"/>
            <w:vAlign w:val="center"/>
          </w:tcPr>
          <w:p w14:paraId="56BDCC4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信息传输业产值</w:t>
            </w:r>
          </w:p>
        </w:tc>
        <w:tc>
          <w:tcPr>
            <w:tcW w:w="1671" w:type="dxa"/>
            <w:vAlign w:val="center"/>
          </w:tcPr>
          <w:p w14:paraId="4A53935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2015—2021</w:t>
            </w:r>
          </w:p>
        </w:tc>
        <w:tc>
          <w:tcPr>
            <w:tcW w:w="1425" w:type="dxa"/>
            <w:vAlign w:val="center"/>
          </w:tcPr>
          <w:p w14:paraId="03495E7C"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53.8%</w:t>
            </w:r>
          </w:p>
        </w:tc>
      </w:tr>
      <w:tr w:rsidR="005B623A" w14:paraId="277F482D" w14:textId="77777777" w:rsidTr="0022082E">
        <w:trPr>
          <w:tblCellSpacing w:w="15" w:type="dxa"/>
          <w:jc w:val="center"/>
        </w:trPr>
        <w:tc>
          <w:tcPr>
            <w:tcW w:w="1678" w:type="dxa"/>
            <w:vAlign w:val="center"/>
          </w:tcPr>
          <w:p w14:paraId="7AE6FF95" w14:textId="77777777" w:rsidR="005B623A" w:rsidRDefault="00000000">
            <w:pPr>
              <w:widowControl/>
              <w:adjustRightInd/>
              <w:snapToGrid/>
              <w:spacing w:after="62" w:line="560" w:lineRule="atLeast"/>
              <w:ind w:firstLineChars="200" w:firstLine="480"/>
              <w:jc w:val="left"/>
            </w:pPr>
            <w:proofErr w:type="gramStart"/>
            <w:r>
              <w:rPr>
                <w:rFonts w:ascii="宋体" w:eastAsia="宋体" w:hAnsi="宋体" w:cs="宋体"/>
                <w:kern w:val="0"/>
                <w:lang w:bidi="ar"/>
              </w:rPr>
              <w:t>农业电</w:t>
            </w:r>
            <w:proofErr w:type="gramEnd"/>
            <w:r>
              <w:rPr>
                <w:rFonts w:ascii="宋体" w:eastAsia="宋体" w:hAnsi="宋体" w:cs="宋体"/>
                <w:kern w:val="0"/>
                <w:lang w:bidi="ar"/>
              </w:rPr>
              <w:t>商交易额</w:t>
            </w:r>
          </w:p>
        </w:tc>
        <w:tc>
          <w:tcPr>
            <w:tcW w:w="1671" w:type="dxa"/>
            <w:vAlign w:val="center"/>
          </w:tcPr>
          <w:p w14:paraId="0AE801D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2016—2017等</w:t>
            </w:r>
          </w:p>
        </w:tc>
        <w:tc>
          <w:tcPr>
            <w:tcW w:w="1425" w:type="dxa"/>
            <w:vAlign w:val="center"/>
          </w:tcPr>
          <w:p w14:paraId="019AB78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15.4%</w:t>
            </w:r>
          </w:p>
        </w:tc>
      </w:tr>
      <w:tr w:rsidR="005B623A" w14:paraId="278EA65C" w14:textId="77777777" w:rsidTr="0022082E">
        <w:trPr>
          <w:tblCellSpacing w:w="15" w:type="dxa"/>
          <w:jc w:val="center"/>
        </w:trPr>
        <w:tc>
          <w:tcPr>
            <w:tcW w:w="1678" w:type="dxa"/>
            <w:vAlign w:val="center"/>
          </w:tcPr>
          <w:p w14:paraId="5900BE8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智慧农业应用面积</w:t>
            </w:r>
          </w:p>
        </w:tc>
        <w:tc>
          <w:tcPr>
            <w:tcW w:w="1671" w:type="dxa"/>
            <w:vAlign w:val="center"/>
          </w:tcPr>
          <w:p w14:paraId="0C9A917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2010—2014部分</w:t>
            </w:r>
          </w:p>
        </w:tc>
        <w:tc>
          <w:tcPr>
            <w:tcW w:w="1425" w:type="dxa"/>
            <w:vAlign w:val="center"/>
          </w:tcPr>
          <w:p w14:paraId="20CB051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38.5%</w:t>
            </w:r>
          </w:p>
        </w:tc>
      </w:tr>
    </w:tbl>
    <w:p w14:paraId="16BC32AE" w14:textId="77777777" w:rsidR="005B623A" w:rsidRDefault="00000000">
      <w:pPr>
        <w:pStyle w:val="1"/>
        <w:spacing w:after="312"/>
      </w:pPr>
      <w:r>
        <w:rPr>
          <w:rFonts w:hint="eastAsia"/>
        </w:rPr>
        <w:t>实证结果分析</w:t>
      </w:r>
    </w:p>
    <w:p w14:paraId="4CF10D29" w14:textId="77777777" w:rsidR="005B623A" w:rsidRDefault="00000000">
      <w:pPr>
        <w:pStyle w:val="2"/>
        <w:spacing w:after="62"/>
      </w:pPr>
      <w:r>
        <w:rPr>
          <w:rFonts w:hint="eastAsia"/>
        </w:rPr>
        <w:t>（一）描述性统计与指数构建结果</w:t>
      </w:r>
    </w:p>
    <w:p w14:paraId="5692B077"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1．主要指标变化趋势 2010—2022年，榆林市农业绿色高质量发展相关指标呈现结构性改善：粮食总产量从152.38万吨增至252.47万吨，年均增长4.3%；绿色农产品产值从108.75亿元增至359.28亿元，年均增长10.6%；有机肥使用量从28.4万吨增至87.6万吨；农田灌溉水有效利用系数从0.38升至0.51；农业碳排放总量在2018年达到峰值52.35万吨CO₂e后下降至2022年的46.82万吨；农业机械化水平从8.2千瓦/公顷升至18.7千瓦/公顷。上述变化表明榆林市农业正逐步向绿色、高效方向转型。</w:t>
      </w:r>
    </w:p>
    <w:p w14:paraId="5488A583"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lastRenderedPageBreak/>
        <w:t>数字经济相关指标增长更为显著：农村固定宽带用户数增长约404%，信息传输业产值从7.4亿元增至34.67亿元，</w:t>
      </w:r>
      <w:proofErr w:type="gramStart"/>
      <w:r>
        <w:rPr>
          <w:rFonts w:ascii="宋体" w:eastAsia="宋体" w:hAnsi="宋体" w:cs="宋体" w:hint="eastAsia"/>
          <w:sz w:val="28"/>
          <w:szCs w:val="28"/>
        </w:rPr>
        <w:t>农业电</w:t>
      </w:r>
      <w:proofErr w:type="gramEnd"/>
      <w:r>
        <w:rPr>
          <w:rFonts w:ascii="宋体" w:eastAsia="宋体" w:hAnsi="宋体" w:cs="宋体" w:hint="eastAsia"/>
          <w:sz w:val="28"/>
          <w:szCs w:val="28"/>
        </w:rPr>
        <w:t>商交易额与智慧农业应用面积从几乎为零扩展到可观规模，为后续分析提供了必要的事实基础。</w:t>
      </w:r>
    </w:p>
    <w:p w14:paraId="19427C17"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2．指数构建结果 农业绿色高质量发展指数（</w:t>
      </w:r>
      <w:proofErr w:type="spellStart"/>
      <w:r>
        <w:rPr>
          <w:rFonts w:ascii="宋体" w:eastAsia="宋体" w:hAnsi="宋体" w:cs="宋体" w:hint="eastAsia"/>
          <w:sz w:val="28"/>
          <w:szCs w:val="28"/>
        </w:rPr>
        <w:t>Green_Index</w:t>
      </w:r>
      <w:proofErr w:type="spellEnd"/>
      <w:r>
        <w:rPr>
          <w:rFonts w:ascii="宋体" w:eastAsia="宋体" w:hAnsi="宋体" w:cs="宋体" w:hint="eastAsia"/>
          <w:sz w:val="28"/>
          <w:szCs w:val="28"/>
        </w:rPr>
        <w:t>）经PCA合成，第一主成分解释方差60.99%，指数从2010年的0.112上升至2022年的0.912。 数字经济指数（</w:t>
      </w:r>
      <w:proofErr w:type="spellStart"/>
      <w:r>
        <w:rPr>
          <w:rFonts w:ascii="宋体" w:eastAsia="宋体" w:hAnsi="宋体" w:cs="宋体" w:hint="eastAsia"/>
          <w:sz w:val="28"/>
          <w:szCs w:val="28"/>
        </w:rPr>
        <w:t>Digital_Index</w:t>
      </w:r>
      <w:proofErr w:type="spellEnd"/>
      <w:r>
        <w:rPr>
          <w:rFonts w:ascii="宋体" w:eastAsia="宋体" w:hAnsi="宋体" w:cs="宋体" w:hint="eastAsia"/>
          <w:sz w:val="28"/>
          <w:szCs w:val="28"/>
        </w:rPr>
        <w:t>）第一主成分解释方差44.14%，指数从0.058上升至0.986。</w:t>
      </w:r>
    </w:p>
    <w:p w14:paraId="269F4E9B" w14:textId="77777777" w:rsidR="005B623A" w:rsidRDefault="00000000">
      <w:pPr>
        <w:pStyle w:val="af3"/>
        <w:widowControl/>
        <w:adjustRightInd/>
        <w:snapToGrid/>
        <w:spacing w:after="62" w:line="560" w:lineRule="atLeast"/>
        <w:ind w:firstLineChars="200" w:firstLine="480"/>
        <w:jc w:val="center"/>
        <w:rPr>
          <w:rStyle w:val="af6"/>
        </w:rPr>
      </w:pPr>
      <w:r>
        <w:rPr>
          <w:noProof/>
        </w:rPr>
        <w:drawing>
          <wp:inline distT="0" distB="0" distL="114300" distR="114300" wp14:anchorId="64FEE63A" wp14:editId="21D31B9C">
            <wp:extent cx="5600065" cy="1725295"/>
            <wp:effectExtent l="0" t="0" r="8255" b="1206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1"/>
                    <a:stretch>
                      <a:fillRect/>
                    </a:stretch>
                  </pic:blipFill>
                  <pic:spPr>
                    <a:xfrm>
                      <a:off x="0" y="0"/>
                      <a:ext cx="5600065" cy="1725295"/>
                    </a:xfrm>
                    <a:prstGeom prst="rect">
                      <a:avLst/>
                    </a:prstGeom>
                    <a:noFill/>
                    <a:ln>
                      <a:noFill/>
                    </a:ln>
                  </pic:spPr>
                </pic:pic>
              </a:graphicData>
            </a:graphic>
          </wp:inline>
        </w:drawing>
      </w:r>
      <w:r>
        <w:rPr>
          <w:rStyle w:val="af6"/>
        </w:rPr>
        <w:t>图</w:t>
      </w:r>
      <w:r>
        <w:rPr>
          <w:rStyle w:val="af6"/>
        </w:rPr>
        <w:t>5-1</w:t>
      </w:r>
      <w:r>
        <w:rPr>
          <w:rStyle w:val="af6"/>
        </w:rPr>
        <w:t xml:space="preserve">　农业绿色高质量发展指数与数字经济指数变化趋势（</w:t>
      </w:r>
      <w:r>
        <w:rPr>
          <w:rStyle w:val="af6"/>
        </w:rPr>
        <w:t>2010—2022</w:t>
      </w:r>
      <w:r>
        <w:rPr>
          <w:rStyle w:val="af6"/>
        </w:rPr>
        <w:t>年）</w:t>
      </w:r>
    </w:p>
    <w:p w14:paraId="48975864"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 xml:space="preserve"> 图5-1显示，两指数整体呈上升趋势，Pearson相关系数为0.912（p&lt;0.001）。2017年后数字经济指数加速上升，绿色高质量发展指数同步出现较明显拐点，初步反映二者之间的同步性。</w:t>
      </w:r>
    </w:p>
    <w:p w14:paraId="7126C420" w14:textId="77777777" w:rsidR="005B623A" w:rsidRDefault="00000000">
      <w:pPr>
        <w:pStyle w:val="2"/>
        <w:spacing w:after="62"/>
      </w:pPr>
      <w:r>
        <w:rPr>
          <w:rFonts w:hint="eastAsia"/>
        </w:rPr>
        <w:t>（二）机器学习模型样本内预测性能与拟合效果</w:t>
      </w:r>
    </w:p>
    <w:p w14:paraId="773EEA9F" w14:textId="77777777" w:rsidR="005B623A" w:rsidRDefault="00000000">
      <w:pPr>
        <w:pStyle w:val="af3"/>
        <w:widowControl/>
        <w:adjustRightInd/>
        <w:snapToGrid/>
        <w:spacing w:after="62" w:line="560" w:lineRule="atLeast"/>
        <w:rPr>
          <w:sz w:val="28"/>
          <w:szCs w:val="28"/>
        </w:rPr>
      </w:pPr>
      <w:r>
        <w:rPr>
          <w:rFonts w:hint="eastAsia"/>
          <w:sz w:val="28"/>
          <w:szCs w:val="28"/>
        </w:rPr>
        <w:t>采用留一法交叉验证（</w:t>
      </w:r>
      <w:r>
        <w:rPr>
          <w:rFonts w:hint="eastAsia"/>
          <w:sz w:val="28"/>
          <w:szCs w:val="28"/>
        </w:rPr>
        <w:t>LOOCV</w:t>
      </w:r>
      <w:r>
        <w:rPr>
          <w:rFonts w:hint="eastAsia"/>
          <w:sz w:val="28"/>
          <w:szCs w:val="28"/>
        </w:rPr>
        <w:t>）评估三种模型性能，结果见表</w:t>
      </w:r>
      <w:r>
        <w:rPr>
          <w:rFonts w:hint="eastAsia"/>
          <w:sz w:val="28"/>
          <w:szCs w:val="28"/>
        </w:rPr>
        <w:t>5-1</w:t>
      </w:r>
      <w:r>
        <w:rPr>
          <w:rFonts w:hint="eastAsia"/>
          <w:sz w:val="28"/>
          <w:szCs w:val="28"/>
        </w:rPr>
        <w:t>。</w:t>
      </w:r>
    </w:p>
    <w:p w14:paraId="43BBBE49" w14:textId="77777777" w:rsidR="005B623A" w:rsidRDefault="00000000">
      <w:pPr>
        <w:pStyle w:val="af3"/>
        <w:widowControl/>
        <w:adjustRightInd/>
        <w:snapToGrid/>
        <w:spacing w:after="62" w:line="560" w:lineRule="atLeast"/>
        <w:ind w:firstLineChars="200" w:firstLine="482"/>
        <w:jc w:val="center"/>
      </w:pPr>
      <w:r>
        <w:rPr>
          <w:rStyle w:val="af6"/>
        </w:rPr>
        <w:t>表</w:t>
      </w:r>
      <w:r>
        <w:rPr>
          <w:rStyle w:val="af6"/>
        </w:rPr>
        <w:t>5-1</w:t>
      </w:r>
      <w:r>
        <w:rPr>
          <w:rStyle w:val="af6"/>
        </w:rPr>
        <w:t xml:space="preserve">　三种模型</w:t>
      </w:r>
      <w:r>
        <w:rPr>
          <w:rStyle w:val="af6"/>
        </w:rPr>
        <w:t>LOOCV</w:t>
      </w:r>
      <w:r>
        <w:rPr>
          <w:rStyle w:val="af6"/>
        </w:rPr>
        <w:t>性能指标</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6"/>
        <w:gridCol w:w="1312"/>
        <w:gridCol w:w="1199"/>
        <w:gridCol w:w="1619"/>
      </w:tblGrid>
      <w:tr w:rsidR="005B623A" w14:paraId="50AAAF9B" w14:textId="77777777" w:rsidTr="0022082E">
        <w:trPr>
          <w:tblHeader/>
          <w:tblCellSpacing w:w="15" w:type="dxa"/>
          <w:jc w:val="center"/>
        </w:trPr>
        <w:tc>
          <w:tcPr>
            <w:tcW w:w="2241" w:type="dxa"/>
            <w:vAlign w:val="center"/>
          </w:tcPr>
          <w:p w14:paraId="147FDF59"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模型名称</w:t>
            </w:r>
          </w:p>
        </w:tc>
        <w:tc>
          <w:tcPr>
            <w:tcW w:w="1282" w:type="dxa"/>
            <w:vAlign w:val="center"/>
          </w:tcPr>
          <w:p w14:paraId="08A8113B"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R²</w:t>
            </w:r>
          </w:p>
        </w:tc>
        <w:tc>
          <w:tcPr>
            <w:tcW w:w="1169" w:type="dxa"/>
            <w:vAlign w:val="center"/>
          </w:tcPr>
          <w:p w14:paraId="32A9CB3E"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MAE</w:t>
            </w:r>
          </w:p>
        </w:tc>
        <w:tc>
          <w:tcPr>
            <w:tcW w:w="1574" w:type="dxa"/>
            <w:vAlign w:val="center"/>
          </w:tcPr>
          <w:p w14:paraId="36E6D5F4"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RMSE</w:t>
            </w:r>
          </w:p>
        </w:tc>
      </w:tr>
      <w:tr w:rsidR="005B623A" w14:paraId="4CE970AE" w14:textId="77777777" w:rsidTr="0022082E">
        <w:trPr>
          <w:trHeight w:val="1368"/>
          <w:tblCellSpacing w:w="15" w:type="dxa"/>
          <w:jc w:val="center"/>
        </w:trPr>
        <w:tc>
          <w:tcPr>
            <w:tcW w:w="2241" w:type="dxa"/>
            <w:vAlign w:val="center"/>
          </w:tcPr>
          <w:p w14:paraId="3F1FAF7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Random Forest</w:t>
            </w:r>
          </w:p>
        </w:tc>
        <w:tc>
          <w:tcPr>
            <w:tcW w:w="1282" w:type="dxa"/>
            <w:vAlign w:val="center"/>
          </w:tcPr>
          <w:p w14:paraId="3D9B401F"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0.873</w:t>
            </w:r>
          </w:p>
        </w:tc>
        <w:tc>
          <w:tcPr>
            <w:tcW w:w="1169" w:type="dxa"/>
            <w:vAlign w:val="center"/>
          </w:tcPr>
          <w:p w14:paraId="07F7C19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0.087</w:t>
            </w:r>
          </w:p>
        </w:tc>
        <w:tc>
          <w:tcPr>
            <w:tcW w:w="1574" w:type="dxa"/>
            <w:vAlign w:val="center"/>
          </w:tcPr>
          <w:p w14:paraId="46C9F5D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0.112</w:t>
            </w:r>
          </w:p>
        </w:tc>
      </w:tr>
      <w:tr w:rsidR="005B623A" w14:paraId="59412B00" w14:textId="77777777" w:rsidTr="0022082E">
        <w:trPr>
          <w:tblCellSpacing w:w="15" w:type="dxa"/>
          <w:jc w:val="center"/>
        </w:trPr>
        <w:tc>
          <w:tcPr>
            <w:tcW w:w="2241" w:type="dxa"/>
            <w:vAlign w:val="center"/>
          </w:tcPr>
          <w:p w14:paraId="32949DCD" w14:textId="77777777" w:rsidR="005B623A" w:rsidRDefault="00000000">
            <w:pPr>
              <w:widowControl/>
              <w:adjustRightInd/>
              <w:snapToGrid/>
              <w:spacing w:after="62" w:line="560" w:lineRule="atLeast"/>
              <w:ind w:firstLineChars="200" w:firstLine="480"/>
              <w:jc w:val="left"/>
            </w:pPr>
            <w:proofErr w:type="spellStart"/>
            <w:r>
              <w:rPr>
                <w:rFonts w:ascii="宋体" w:eastAsia="宋体" w:hAnsi="宋体" w:cs="宋体"/>
                <w:kern w:val="0"/>
                <w:lang w:bidi="ar"/>
              </w:rPr>
              <w:lastRenderedPageBreak/>
              <w:t>XGBoost</w:t>
            </w:r>
            <w:proofErr w:type="spellEnd"/>
          </w:p>
        </w:tc>
        <w:tc>
          <w:tcPr>
            <w:tcW w:w="1282" w:type="dxa"/>
            <w:vAlign w:val="center"/>
          </w:tcPr>
          <w:p w14:paraId="0A768C1B"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0.920</w:t>
            </w:r>
          </w:p>
        </w:tc>
        <w:tc>
          <w:tcPr>
            <w:tcW w:w="1169" w:type="dxa"/>
            <w:vAlign w:val="center"/>
          </w:tcPr>
          <w:p w14:paraId="00E997F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0.069</w:t>
            </w:r>
          </w:p>
        </w:tc>
        <w:tc>
          <w:tcPr>
            <w:tcW w:w="1574" w:type="dxa"/>
            <w:vAlign w:val="center"/>
          </w:tcPr>
          <w:p w14:paraId="1C7896E2"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0.091</w:t>
            </w:r>
          </w:p>
        </w:tc>
      </w:tr>
      <w:tr w:rsidR="005B623A" w14:paraId="2A9EB3D2" w14:textId="77777777" w:rsidTr="0022082E">
        <w:trPr>
          <w:tblCellSpacing w:w="15" w:type="dxa"/>
          <w:jc w:val="center"/>
        </w:trPr>
        <w:tc>
          <w:tcPr>
            <w:tcW w:w="2241" w:type="dxa"/>
            <w:vAlign w:val="center"/>
          </w:tcPr>
          <w:p w14:paraId="341B8E9B"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MLP</w:t>
            </w:r>
          </w:p>
        </w:tc>
        <w:tc>
          <w:tcPr>
            <w:tcW w:w="1282" w:type="dxa"/>
            <w:vAlign w:val="center"/>
          </w:tcPr>
          <w:p w14:paraId="203AAC2C"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0.905</w:t>
            </w:r>
          </w:p>
        </w:tc>
        <w:tc>
          <w:tcPr>
            <w:tcW w:w="1169" w:type="dxa"/>
            <w:vAlign w:val="center"/>
          </w:tcPr>
          <w:p w14:paraId="05EBE1F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0.078</w:t>
            </w:r>
          </w:p>
        </w:tc>
        <w:tc>
          <w:tcPr>
            <w:tcW w:w="1574" w:type="dxa"/>
            <w:vAlign w:val="center"/>
          </w:tcPr>
          <w:p w14:paraId="45495DC2"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0.103</w:t>
            </w:r>
          </w:p>
        </w:tc>
      </w:tr>
    </w:tbl>
    <w:p w14:paraId="256538B0" w14:textId="77777777" w:rsidR="005B623A" w:rsidRDefault="005B623A">
      <w:pPr>
        <w:pStyle w:val="af3"/>
        <w:widowControl/>
        <w:adjustRightInd/>
        <w:snapToGrid/>
        <w:spacing w:after="62" w:line="560" w:lineRule="atLeast"/>
        <w:rPr>
          <w:rFonts w:ascii="宋体" w:eastAsia="宋体" w:hAnsi="宋体" w:cs="宋体"/>
        </w:rPr>
      </w:pPr>
    </w:p>
    <w:p w14:paraId="373C70A9" w14:textId="77777777" w:rsidR="005B623A" w:rsidRDefault="00000000">
      <w:pPr>
        <w:pStyle w:val="af3"/>
        <w:widowControl/>
        <w:adjustRightInd/>
        <w:snapToGrid/>
        <w:spacing w:after="62" w:line="560" w:lineRule="atLeast"/>
      </w:pPr>
      <w:r>
        <w:rPr>
          <w:rFonts w:hint="eastAsia"/>
          <w:sz w:val="28"/>
          <w:szCs w:val="28"/>
        </w:rPr>
        <w:t>三种模型</w:t>
      </w:r>
      <w:r>
        <w:rPr>
          <w:rFonts w:hint="eastAsia"/>
          <w:sz w:val="28"/>
          <w:szCs w:val="28"/>
        </w:rPr>
        <w:t>R</w:t>
      </w:r>
      <w:r>
        <w:rPr>
          <w:rFonts w:hint="eastAsia"/>
          <w:sz w:val="28"/>
          <w:szCs w:val="28"/>
        </w:rPr>
        <w:t>²均超过</w:t>
      </w:r>
      <w:r>
        <w:rPr>
          <w:rFonts w:hint="eastAsia"/>
          <w:sz w:val="28"/>
          <w:szCs w:val="28"/>
        </w:rPr>
        <w:t>0.87</w:t>
      </w:r>
      <w:r>
        <w:rPr>
          <w:rFonts w:hint="eastAsia"/>
          <w:sz w:val="28"/>
          <w:szCs w:val="28"/>
        </w:rPr>
        <w:t>，样本内拟合较好。</w:t>
      </w:r>
      <w:r>
        <w:rPr>
          <w:noProof/>
        </w:rPr>
        <w:drawing>
          <wp:inline distT="0" distB="0" distL="114300" distR="114300" wp14:anchorId="3AD6EFA9" wp14:editId="62B504E1">
            <wp:extent cx="5593715" cy="2476500"/>
            <wp:effectExtent l="0" t="0" r="14605" b="762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2"/>
                    <a:stretch>
                      <a:fillRect/>
                    </a:stretch>
                  </pic:blipFill>
                  <pic:spPr>
                    <a:xfrm>
                      <a:off x="0" y="0"/>
                      <a:ext cx="5593715" cy="2476500"/>
                    </a:xfrm>
                    <a:prstGeom prst="rect">
                      <a:avLst/>
                    </a:prstGeom>
                    <a:noFill/>
                    <a:ln>
                      <a:noFill/>
                    </a:ln>
                  </pic:spPr>
                </pic:pic>
              </a:graphicData>
            </a:graphic>
          </wp:inline>
        </w:drawing>
      </w:r>
    </w:p>
    <w:p w14:paraId="24BACA21" w14:textId="77777777" w:rsidR="005B623A" w:rsidRDefault="00000000">
      <w:pPr>
        <w:pStyle w:val="af3"/>
        <w:widowControl/>
        <w:adjustRightInd/>
        <w:snapToGrid/>
        <w:spacing w:after="62" w:line="560" w:lineRule="atLeast"/>
        <w:ind w:firstLineChars="200" w:firstLine="482"/>
      </w:pPr>
      <w:r>
        <w:rPr>
          <w:rStyle w:val="af6"/>
        </w:rPr>
        <w:t>图</w:t>
      </w:r>
      <w:r>
        <w:rPr>
          <w:rStyle w:val="af6"/>
        </w:rPr>
        <w:t>5-2</w:t>
      </w:r>
      <w:r>
        <w:rPr>
          <w:rStyle w:val="af6"/>
        </w:rPr>
        <w:t xml:space="preserve">　各模型对农业绿色高质量发展指数的拟合效果（</w:t>
      </w:r>
      <w:r>
        <w:rPr>
          <w:rStyle w:val="af6"/>
        </w:rPr>
        <w:t>LOOCV</w:t>
      </w:r>
      <w:r>
        <w:rPr>
          <w:rStyle w:val="af6"/>
        </w:rPr>
        <w:t>）</w:t>
      </w:r>
      <w:r>
        <w:t xml:space="preserve"> </w:t>
      </w:r>
      <w:r>
        <w:rPr>
          <w:noProof/>
        </w:rPr>
        <w:drawing>
          <wp:inline distT="0" distB="0" distL="114300" distR="114300" wp14:anchorId="55890773" wp14:editId="04EFAD35">
            <wp:extent cx="5589270" cy="2859405"/>
            <wp:effectExtent l="0" t="0" r="3810" b="571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3"/>
                    <a:stretch>
                      <a:fillRect/>
                    </a:stretch>
                  </pic:blipFill>
                  <pic:spPr>
                    <a:xfrm>
                      <a:off x="0" y="0"/>
                      <a:ext cx="5589270" cy="2859405"/>
                    </a:xfrm>
                    <a:prstGeom prst="rect">
                      <a:avLst/>
                    </a:prstGeom>
                    <a:noFill/>
                    <a:ln>
                      <a:noFill/>
                    </a:ln>
                  </pic:spPr>
                </pic:pic>
              </a:graphicData>
            </a:graphic>
          </wp:inline>
        </w:drawing>
      </w:r>
      <w:r>
        <w:rPr>
          <w:rStyle w:val="af6"/>
        </w:rPr>
        <w:t>图</w:t>
      </w:r>
      <w:r>
        <w:rPr>
          <w:rStyle w:val="af6"/>
        </w:rPr>
        <w:t>5-3</w:t>
      </w:r>
      <w:r>
        <w:rPr>
          <w:rStyle w:val="af6"/>
        </w:rPr>
        <w:t xml:space="preserve">　各模型对农业绿色高质量发展指数的拟合效果（</w:t>
      </w:r>
      <w:r>
        <w:rPr>
          <w:rStyle w:val="af6"/>
        </w:rPr>
        <w:t>LOOCV</w:t>
      </w:r>
      <w:r>
        <w:rPr>
          <w:rStyle w:val="af6"/>
        </w:rPr>
        <w:t>，标准化后数值）</w:t>
      </w:r>
    </w:p>
    <w:p w14:paraId="2CE91973"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lastRenderedPageBreak/>
        <w:t>从图</w:t>
      </w:r>
      <w:r>
        <w:rPr>
          <w:rFonts w:hint="eastAsia"/>
          <w:sz w:val="28"/>
          <w:szCs w:val="28"/>
        </w:rPr>
        <w:t>5-2</w:t>
      </w:r>
      <w:r>
        <w:rPr>
          <w:rFonts w:hint="eastAsia"/>
          <w:sz w:val="28"/>
          <w:szCs w:val="28"/>
        </w:rPr>
        <w:t>与图</w:t>
      </w:r>
      <w:r>
        <w:rPr>
          <w:rFonts w:hint="eastAsia"/>
          <w:sz w:val="28"/>
          <w:szCs w:val="28"/>
        </w:rPr>
        <w:t>5-3</w:t>
      </w:r>
      <w:r>
        <w:rPr>
          <w:rFonts w:hint="eastAsia"/>
          <w:sz w:val="28"/>
          <w:szCs w:val="28"/>
        </w:rPr>
        <w:t>可见：</w:t>
      </w:r>
      <w:r>
        <w:rPr>
          <w:rFonts w:hint="eastAsia"/>
          <w:sz w:val="28"/>
          <w:szCs w:val="28"/>
        </w:rPr>
        <w:t xml:space="preserve"> </w:t>
      </w:r>
      <w:r>
        <w:rPr>
          <w:rFonts w:hint="eastAsia"/>
          <w:sz w:val="28"/>
          <w:szCs w:val="28"/>
        </w:rPr>
        <w:t>（</w:t>
      </w:r>
      <w:r>
        <w:rPr>
          <w:rFonts w:hint="eastAsia"/>
          <w:sz w:val="28"/>
          <w:szCs w:val="28"/>
        </w:rPr>
        <w:t>1</w:t>
      </w:r>
      <w:r>
        <w:rPr>
          <w:rFonts w:hint="eastAsia"/>
          <w:sz w:val="28"/>
          <w:szCs w:val="28"/>
        </w:rPr>
        <w:t>）三种模型均能较好捕捉指数整体上升趋势；</w:t>
      </w:r>
      <w:r>
        <w:rPr>
          <w:rFonts w:hint="eastAsia"/>
          <w:sz w:val="28"/>
          <w:szCs w:val="28"/>
        </w:rPr>
        <w:t xml:space="preserve"> </w:t>
      </w:r>
      <w:r>
        <w:rPr>
          <w:rFonts w:hint="eastAsia"/>
          <w:sz w:val="28"/>
          <w:szCs w:val="28"/>
        </w:rPr>
        <w:t>（</w:t>
      </w:r>
      <w:r>
        <w:rPr>
          <w:rFonts w:hint="eastAsia"/>
          <w:sz w:val="28"/>
          <w:szCs w:val="28"/>
        </w:rPr>
        <w:t>2</w:t>
      </w:r>
      <w:r>
        <w:rPr>
          <w:rFonts w:hint="eastAsia"/>
          <w:sz w:val="28"/>
          <w:szCs w:val="28"/>
        </w:rPr>
        <w:t>）在</w:t>
      </w:r>
      <w:r>
        <w:rPr>
          <w:rFonts w:hint="eastAsia"/>
          <w:sz w:val="28"/>
          <w:szCs w:val="28"/>
        </w:rPr>
        <w:t>2014</w:t>
      </w:r>
      <w:r>
        <w:rPr>
          <w:rFonts w:hint="eastAsia"/>
          <w:sz w:val="28"/>
          <w:szCs w:val="28"/>
        </w:rPr>
        <w:t>—</w:t>
      </w:r>
      <w:r>
        <w:rPr>
          <w:rFonts w:hint="eastAsia"/>
          <w:sz w:val="28"/>
          <w:szCs w:val="28"/>
        </w:rPr>
        <w:t>2015</w:t>
      </w:r>
      <w:r>
        <w:rPr>
          <w:rFonts w:hint="eastAsia"/>
          <w:sz w:val="28"/>
          <w:szCs w:val="28"/>
        </w:rPr>
        <w:t>年小幅波动以及</w:t>
      </w:r>
      <w:r>
        <w:rPr>
          <w:rFonts w:hint="eastAsia"/>
          <w:sz w:val="28"/>
          <w:szCs w:val="28"/>
        </w:rPr>
        <w:t>2017</w:t>
      </w:r>
      <w:r>
        <w:rPr>
          <w:rFonts w:hint="eastAsia"/>
          <w:sz w:val="28"/>
          <w:szCs w:val="28"/>
        </w:rPr>
        <w:t>—</w:t>
      </w:r>
      <w:r>
        <w:rPr>
          <w:rFonts w:hint="eastAsia"/>
          <w:sz w:val="28"/>
          <w:szCs w:val="28"/>
        </w:rPr>
        <w:t>2018</w:t>
      </w:r>
      <w:r>
        <w:rPr>
          <w:rFonts w:hint="eastAsia"/>
          <w:sz w:val="28"/>
          <w:szCs w:val="28"/>
        </w:rPr>
        <w:t>年加速上升等关键节点，</w:t>
      </w:r>
      <w:proofErr w:type="spellStart"/>
      <w:r>
        <w:rPr>
          <w:rFonts w:hint="eastAsia"/>
          <w:sz w:val="28"/>
          <w:szCs w:val="28"/>
        </w:rPr>
        <w:t>XGBoost</w:t>
      </w:r>
      <w:proofErr w:type="spellEnd"/>
      <w:r>
        <w:rPr>
          <w:rFonts w:hint="eastAsia"/>
          <w:sz w:val="28"/>
          <w:szCs w:val="28"/>
        </w:rPr>
        <w:t>预测曲线与真实值贴合度最高，</w:t>
      </w:r>
      <w:r>
        <w:rPr>
          <w:rFonts w:hint="eastAsia"/>
          <w:sz w:val="28"/>
          <w:szCs w:val="28"/>
        </w:rPr>
        <w:t>Random Forest</w:t>
      </w:r>
      <w:r>
        <w:rPr>
          <w:rFonts w:hint="eastAsia"/>
          <w:sz w:val="28"/>
          <w:szCs w:val="28"/>
        </w:rPr>
        <w:t>次之，</w:t>
      </w:r>
      <w:r>
        <w:rPr>
          <w:rFonts w:hint="eastAsia"/>
          <w:sz w:val="28"/>
          <w:szCs w:val="28"/>
        </w:rPr>
        <w:t>MLP</w:t>
      </w:r>
      <w:r>
        <w:rPr>
          <w:rFonts w:hint="eastAsia"/>
          <w:sz w:val="28"/>
          <w:szCs w:val="28"/>
        </w:rPr>
        <w:t>在后期略有</w:t>
      </w:r>
      <w:proofErr w:type="gramStart"/>
      <w:r>
        <w:rPr>
          <w:rFonts w:hint="eastAsia"/>
          <w:sz w:val="28"/>
          <w:szCs w:val="28"/>
        </w:rPr>
        <w:t>高估但</w:t>
      </w:r>
      <w:proofErr w:type="gramEnd"/>
      <w:r>
        <w:rPr>
          <w:rFonts w:hint="eastAsia"/>
          <w:sz w:val="28"/>
          <w:szCs w:val="28"/>
        </w:rPr>
        <w:t>整体一致性仍较高；</w:t>
      </w:r>
      <w:r>
        <w:rPr>
          <w:rFonts w:hint="eastAsia"/>
          <w:sz w:val="28"/>
          <w:szCs w:val="28"/>
        </w:rPr>
        <w:t xml:space="preserve"> </w:t>
      </w:r>
      <w:r>
        <w:rPr>
          <w:rFonts w:hint="eastAsia"/>
          <w:sz w:val="28"/>
          <w:szCs w:val="28"/>
        </w:rPr>
        <w:t>（</w:t>
      </w:r>
      <w:r>
        <w:rPr>
          <w:rFonts w:hint="eastAsia"/>
          <w:sz w:val="28"/>
          <w:szCs w:val="28"/>
        </w:rPr>
        <w:t>3</w:t>
      </w:r>
      <w:r>
        <w:rPr>
          <w:rFonts w:hint="eastAsia"/>
          <w:sz w:val="28"/>
          <w:szCs w:val="28"/>
        </w:rPr>
        <w:t>）标准化前后结果一致，表明拟合效果不受量纲影响。上述表现说明，在</w:t>
      </w:r>
      <w:r>
        <w:rPr>
          <w:rFonts w:hint="eastAsia"/>
          <w:sz w:val="28"/>
          <w:szCs w:val="28"/>
        </w:rPr>
        <w:t>n=13</w:t>
      </w:r>
      <w:r>
        <w:rPr>
          <w:rFonts w:hint="eastAsia"/>
          <w:sz w:val="28"/>
          <w:szCs w:val="28"/>
        </w:rPr>
        <w:t>的小样本条件下，机器学习模型具有较强的样本</w:t>
      </w:r>
      <w:proofErr w:type="gramStart"/>
      <w:r>
        <w:rPr>
          <w:rFonts w:hint="eastAsia"/>
          <w:sz w:val="28"/>
          <w:szCs w:val="28"/>
        </w:rPr>
        <w:t>内预测</w:t>
      </w:r>
      <w:proofErr w:type="gramEnd"/>
      <w:r>
        <w:rPr>
          <w:rFonts w:hint="eastAsia"/>
          <w:sz w:val="28"/>
          <w:szCs w:val="28"/>
        </w:rPr>
        <w:t>能力，但泛化性能需通过稳健性检验进一步评估。</w:t>
      </w:r>
    </w:p>
    <w:p w14:paraId="058212DE" w14:textId="77777777" w:rsidR="005B623A" w:rsidRDefault="00000000">
      <w:pPr>
        <w:pStyle w:val="2"/>
        <w:spacing w:after="62"/>
      </w:pPr>
      <w:r>
        <w:t>（三）特征重要性分析</w:t>
      </w:r>
    </w:p>
    <w:p w14:paraId="6A1A8A10"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t>三种模型特征重要性平均值（归一化后）见表</w:t>
      </w:r>
      <w:r>
        <w:rPr>
          <w:rFonts w:hint="eastAsia"/>
          <w:sz w:val="28"/>
          <w:szCs w:val="28"/>
        </w:rPr>
        <w:t>5-2</w:t>
      </w:r>
      <w:r>
        <w:rPr>
          <w:rFonts w:hint="eastAsia"/>
          <w:sz w:val="28"/>
          <w:szCs w:val="28"/>
        </w:rPr>
        <w:t>。</w:t>
      </w:r>
    </w:p>
    <w:p w14:paraId="172F8997" w14:textId="77777777" w:rsidR="005B623A" w:rsidRDefault="00000000">
      <w:pPr>
        <w:pStyle w:val="af3"/>
        <w:widowControl/>
        <w:adjustRightInd/>
        <w:snapToGrid/>
        <w:spacing w:after="62" w:line="560" w:lineRule="atLeast"/>
        <w:ind w:firstLineChars="200" w:firstLine="482"/>
        <w:jc w:val="center"/>
      </w:pPr>
      <w:r>
        <w:rPr>
          <w:rStyle w:val="af6"/>
        </w:rPr>
        <w:t>表</w:t>
      </w:r>
      <w:r>
        <w:rPr>
          <w:rStyle w:val="af6"/>
        </w:rPr>
        <w:t>5-2</w:t>
      </w:r>
      <w:r>
        <w:rPr>
          <w:rStyle w:val="af6"/>
        </w:rPr>
        <w:t xml:space="preserve">　特征重要性排名（三种模型平均）</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2314"/>
        <w:gridCol w:w="1513"/>
      </w:tblGrid>
      <w:tr w:rsidR="005B623A" w14:paraId="1B8DA0B7" w14:textId="77777777" w:rsidTr="0022082E">
        <w:trPr>
          <w:tblHeader/>
          <w:tblCellSpacing w:w="15" w:type="dxa"/>
          <w:jc w:val="center"/>
        </w:trPr>
        <w:tc>
          <w:tcPr>
            <w:tcW w:w="1271" w:type="dxa"/>
            <w:vAlign w:val="center"/>
          </w:tcPr>
          <w:p w14:paraId="15BE3069"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排名</w:t>
            </w:r>
          </w:p>
        </w:tc>
        <w:tc>
          <w:tcPr>
            <w:tcW w:w="2284" w:type="dxa"/>
            <w:vAlign w:val="center"/>
          </w:tcPr>
          <w:p w14:paraId="3C53FBB8"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变量名称</w:t>
            </w:r>
          </w:p>
        </w:tc>
        <w:tc>
          <w:tcPr>
            <w:tcW w:w="1468" w:type="dxa"/>
            <w:vAlign w:val="center"/>
          </w:tcPr>
          <w:p w14:paraId="7CEC97EF" w14:textId="77777777" w:rsidR="005B623A" w:rsidRDefault="00000000">
            <w:pPr>
              <w:widowControl/>
              <w:adjustRightInd/>
              <w:snapToGrid/>
              <w:spacing w:after="62" w:line="560" w:lineRule="atLeast"/>
              <w:ind w:firstLineChars="200" w:firstLine="482"/>
              <w:jc w:val="center"/>
              <w:rPr>
                <w:b/>
                <w:bCs/>
              </w:rPr>
            </w:pPr>
            <w:r>
              <w:rPr>
                <w:rFonts w:ascii="宋体" w:eastAsia="宋体" w:hAnsi="宋体" w:cs="宋体"/>
                <w:b/>
                <w:bCs/>
                <w:kern w:val="0"/>
                <w:lang w:bidi="ar"/>
              </w:rPr>
              <w:t>平均重要性</w:t>
            </w:r>
          </w:p>
        </w:tc>
      </w:tr>
      <w:tr w:rsidR="005B623A" w14:paraId="62B588B2" w14:textId="77777777" w:rsidTr="0022082E">
        <w:trPr>
          <w:tblCellSpacing w:w="15" w:type="dxa"/>
          <w:jc w:val="center"/>
        </w:trPr>
        <w:tc>
          <w:tcPr>
            <w:tcW w:w="1271" w:type="dxa"/>
            <w:vAlign w:val="center"/>
          </w:tcPr>
          <w:p w14:paraId="235B4DBF"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1</w:t>
            </w:r>
          </w:p>
        </w:tc>
        <w:tc>
          <w:tcPr>
            <w:tcW w:w="2284" w:type="dxa"/>
            <w:vAlign w:val="center"/>
          </w:tcPr>
          <w:p w14:paraId="00C253E2"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总耕地面积</w:t>
            </w:r>
          </w:p>
        </w:tc>
        <w:tc>
          <w:tcPr>
            <w:tcW w:w="1468" w:type="dxa"/>
            <w:vAlign w:val="center"/>
          </w:tcPr>
          <w:p w14:paraId="3A18C11F"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0.254</w:t>
            </w:r>
          </w:p>
        </w:tc>
      </w:tr>
      <w:tr w:rsidR="005B623A" w14:paraId="0C894062" w14:textId="77777777" w:rsidTr="0022082E">
        <w:trPr>
          <w:tblCellSpacing w:w="15" w:type="dxa"/>
          <w:jc w:val="center"/>
        </w:trPr>
        <w:tc>
          <w:tcPr>
            <w:tcW w:w="1271" w:type="dxa"/>
            <w:vAlign w:val="center"/>
          </w:tcPr>
          <w:p w14:paraId="6949F01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2</w:t>
            </w:r>
          </w:p>
        </w:tc>
        <w:tc>
          <w:tcPr>
            <w:tcW w:w="2284" w:type="dxa"/>
            <w:vAlign w:val="center"/>
          </w:tcPr>
          <w:p w14:paraId="548BF9D1"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农林牧渔业总产值</w:t>
            </w:r>
          </w:p>
        </w:tc>
        <w:tc>
          <w:tcPr>
            <w:tcW w:w="1468" w:type="dxa"/>
            <w:vAlign w:val="center"/>
          </w:tcPr>
          <w:p w14:paraId="18FBBCD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0.226</w:t>
            </w:r>
          </w:p>
        </w:tc>
      </w:tr>
      <w:tr w:rsidR="005B623A" w14:paraId="5F63BC85" w14:textId="77777777" w:rsidTr="0022082E">
        <w:trPr>
          <w:tblCellSpacing w:w="15" w:type="dxa"/>
          <w:jc w:val="center"/>
        </w:trPr>
        <w:tc>
          <w:tcPr>
            <w:tcW w:w="1271" w:type="dxa"/>
            <w:vAlign w:val="center"/>
          </w:tcPr>
          <w:p w14:paraId="087797C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3</w:t>
            </w:r>
          </w:p>
        </w:tc>
        <w:tc>
          <w:tcPr>
            <w:tcW w:w="2284" w:type="dxa"/>
            <w:vAlign w:val="center"/>
          </w:tcPr>
          <w:p w14:paraId="6F05FB77"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年末总人口</w:t>
            </w:r>
          </w:p>
        </w:tc>
        <w:tc>
          <w:tcPr>
            <w:tcW w:w="1468" w:type="dxa"/>
            <w:vAlign w:val="center"/>
          </w:tcPr>
          <w:p w14:paraId="538CE616"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0.189</w:t>
            </w:r>
          </w:p>
        </w:tc>
      </w:tr>
      <w:tr w:rsidR="005B623A" w14:paraId="7C166964" w14:textId="77777777" w:rsidTr="0022082E">
        <w:trPr>
          <w:tblCellSpacing w:w="15" w:type="dxa"/>
          <w:jc w:val="center"/>
        </w:trPr>
        <w:tc>
          <w:tcPr>
            <w:tcW w:w="1271" w:type="dxa"/>
            <w:vAlign w:val="center"/>
          </w:tcPr>
          <w:p w14:paraId="1044350D"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4</w:t>
            </w:r>
          </w:p>
        </w:tc>
        <w:tc>
          <w:tcPr>
            <w:tcW w:w="2284" w:type="dxa"/>
            <w:vAlign w:val="center"/>
          </w:tcPr>
          <w:p w14:paraId="23B3FB6E"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有效灌溉面积</w:t>
            </w:r>
          </w:p>
        </w:tc>
        <w:tc>
          <w:tcPr>
            <w:tcW w:w="1468" w:type="dxa"/>
            <w:vAlign w:val="center"/>
          </w:tcPr>
          <w:p w14:paraId="4AC17E4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0.118</w:t>
            </w:r>
          </w:p>
        </w:tc>
      </w:tr>
      <w:tr w:rsidR="005B623A" w14:paraId="422CA0CA" w14:textId="77777777" w:rsidTr="0022082E">
        <w:trPr>
          <w:tblCellSpacing w:w="15" w:type="dxa"/>
          <w:jc w:val="center"/>
        </w:trPr>
        <w:tc>
          <w:tcPr>
            <w:tcW w:w="1271" w:type="dxa"/>
            <w:vAlign w:val="center"/>
          </w:tcPr>
          <w:p w14:paraId="02D62E5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5</w:t>
            </w:r>
          </w:p>
        </w:tc>
        <w:tc>
          <w:tcPr>
            <w:tcW w:w="2284" w:type="dxa"/>
            <w:vAlign w:val="center"/>
          </w:tcPr>
          <w:p w14:paraId="6DBCBA1C"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乡村从业人员数</w:t>
            </w:r>
          </w:p>
        </w:tc>
        <w:tc>
          <w:tcPr>
            <w:tcW w:w="1468" w:type="dxa"/>
            <w:vAlign w:val="center"/>
          </w:tcPr>
          <w:p w14:paraId="7C3CC3B3"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0.097</w:t>
            </w:r>
          </w:p>
        </w:tc>
      </w:tr>
      <w:tr w:rsidR="005B623A" w14:paraId="4C4B5593" w14:textId="77777777" w:rsidTr="0022082E">
        <w:trPr>
          <w:tblCellSpacing w:w="15" w:type="dxa"/>
          <w:jc w:val="center"/>
        </w:trPr>
        <w:tc>
          <w:tcPr>
            <w:tcW w:w="1271" w:type="dxa"/>
            <w:vAlign w:val="center"/>
          </w:tcPr>
          <w:p w14:paraId="45213B7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6</w:t>
            </w:r>
          </w:p>
        </w:tc>
        <w:tc>
          <w:tcPr>
            <w:tcW w:w="2284" w:type="dxa"/>
            <w:vAlign w:val="center"/>
          </w:tcPr>
          <w:p w14:paraId="26F385D9"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数字经济指数</w:t>
            </w:r>
          </w:p>
        </w:tc>
        <w:tc>
          <w:tcPr>
            <w:tcW w:w="1468" w:type="dxa"/>
            <w:vAlign w:val="center"/>
          </w:tcPr>
          <w:p w14:paraId="6762971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0.067</w:t>
            </w:r>
          </w:p>
        </w:tc>
      </w:tr>
      <w:tr w:rsidR="005B623A" w14:paraId="5C9D396D" w14:textId="77777777" w:rsidTr="0022082E">
        <w:trPr>
          <w:tblCellSpacing w:w="15" w:type="dxa"/>
          <w:jc w:val="center"/>
        </w:trPr>
        <w:tc>
          <w:tcPr>
            <w:tcW w:w="1271" w:type="dxa"/>
            <w:vAlign w:val="center"/>
          </w:tcPr>
          <w:p w14:paraId="011ECACA"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7</w:t>
            </w:r>
          </w:p>
        </w:tc>
        <w:tc>
          <w:tcPr>
            <w:tcW w:w="2284" w:type="dxa"/>
            <w:vAlign w:val="center"/>
          </w:tcPr>
          <w:p w14:paraId="15564774"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农业补贴金额</w:t>
            </w:r>
          </w:p>
        </w:tc>
        <w:tc>
          <w:tcPr>
            <w:tcW w:w="1468" w:type="dxa"/>
            <w:vAlign w:val="center"/>
          </w:tcPr>
          <w:p w14:paraId="29FFFD18" w14:textId="77777777" w:rsidR="005B623A" w:rsidRDefault="00000000">
            <w:pPr>
              <w:widowControl/>
              <w:adjustRightInd/>
              <w:snapToGrid/>
              <w:spacing w:after="62" w:line="560" w:lineRule="atLeast"/>
              <w:ind w:firstLineChars="200" w:firstLine="480"/>
              <w:jc w:val="left"/>
            </w:pPr>
            <w:r>
              <w:rPr>
                <w:rFonts w:ascii="宋体" w:eastAsia="宋体" w:hAnsi="宋体" w:cs="宋体"/>
                <w:kern w:val="0"/>
                <w:lang w:bidi="ar"/>
              </w:rPr>
              <w:t>0.049</w:t>
            </w:r>
          </w:p>
        </w:tc>
      </w:tr>
    </w:tbl>
    <w:p w14:paraId="16B0F988"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lastRenderedPageBreak/>
        <w:t>基准结果显示，在政策可干预变量中，数字经济指数平均重要性高于农业补贴金额（</w:t>
      </w:r>
      <w:r>
        <w:rPr>
          <w:rFonts w:hint="eastAsia"/>
          <w:sz w:val="28"/>
          <w:szCs w:val="28"/>
        </w:rPr>
        <w:t>0.067 vs. 0.049</w:t>
      </w:r>
      <w:r>
        <w:rPr>
          <w:rFonts w:hint="eastAsia"/>
          <w:sz w:val="28"/>
          <w:szCs w:val="28"/>
        </w:rPr>
        <w:t>），但差距有限，且</w:t>
      </w:r>
      <w:proofErr w:type="gramStart"/>
      <w:r>
        <w:rPr>
          <w:rFonts w:hint="eastAsia"/>
          <w:sz w:val="28"/>
          <w:szCs w:val="28"/>
        </w:rPr>
        <w:t>受指数</w:t>
      </w:r>
      <w:proofErr w:type="gramEnd"/>
      <w:r>
        <w:rPr>
          <w:rFonts w:hint="eastAsia"/>
          <w:sz w:val="28"/>
          <w:szCs w:val="28"/>
        </w:rPr>
        <w:t>构建方法与数据填补影响（详见第六章）。</w:t>
      </w:r>
    </w:p>
    <w:p w14:paraId="1E6199FE"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t>进一步拆解数字经济指数内部贡献（基于</w:t>
      </w:r>
      <w:r>
        <w:rPr>
          <w:rFonts w:hint="eastAsia"/>
          <w:sz w:val="28"/>
          <w:szCs w:val="28"/>
        </w:rPr>
        <w:t>Random Forest</w:t>
      </w:r>
      <w:r>
        <w:rPr>
          <w:rFonts w:hint="eastAsia"/>
          <w:sz w:val="28"/>
          <w:szCs w:val="28"/>
        </w:rPr>
        <w:t>原始特征重要性）：智慧农业应用面积贡献最大（约</w:t>
      </w:r>
      <w:r>
        <w:rPr>
          <w:rFonts w:hint="eastAsia"/>
          <w:sz w:val="28"/>
          <w:szCs w:val="28"/>
        </w:rPr>
        <w:t>29%</w:t>
      </w:r>
      <w:r>
        <w:rPr>
          <w:rFonts w:hint="eastAsia"/>
          <w:sz w:val="28"/>
          <w:szCs w:val="28"/>
        </w:rPr>
        <w:t>），</w:t>
      </w:r>
      <w:proofErr w:type="gramStart"/>
      <w:r>
        <w:rPr>
          <w:rFonts w:hint="eastAsia"/>
          <w:sz w:val="28"/>
          <w:szCs w:val="28"/>
        </w:rPr>
        <w:t>农业电</w:t>
      </w:r>
      <w:proofErr w:type="gramEnd"/>
      <w:r>
        <w:rPr>
          <w:rFonts w:hint="eastAsia"/>
          <w:sz w:val="28"/>
          <w:szCs w:val="28"/>
        </w:rPr>
        <w:t>商交易额次之（约</w:t>
      </w:r>
      <w:r>
        <w:rPr>
          <w:rFonts w:hint="eastAsia"/>
          <w:sz w:val="28"/>
          <w:szCs w:val="28"/>
        </w:rPr>
        <w:t>26%</w:t>
      </w:r>
      <w:r>
        <w:rPr>
          <w:rFonts w:hint="eastAsia"/>
          <w:sz w:val="28"/>
          <w:szCs w:val="28"/>
        </w:rPr>
        <w:t>），农村固定宽带用户数与信息传输业产值分别约</w:t>
      </w:r>
      <w:r>
        <w:rPr>
          <w:rFonts w:hint="eastAsia"/>
          <w:sz w:val="28"/>
          <w:szCs w:val="28"/>
        </w:rPr>
        <w:t>24%</w:t>
      </w:r>
      <w:r>
        <w:rPr>
          <w:rFonts w:hint="eastAsia"/>
          <w:sz w:val="28"/>
          <w:szCs w:val="28"/>
        </w:rPr>
        <w:t>和</w:t>
      </w:r>
      <w:r>
        <w:rPr>
          <w:rFonts w:hint="eastAsia"/>
          <w:sz w:val="28"/>
          <w:szCs w:val="28"/>
        </w:rPr>
        <w:t>21%</w:t>
      </w:r>
      <w:r>
        <w:rPr>
          <w:rFonts w:hint="eastAsia"/>
          <w:sz w:val="28"/>
          <w:szCs w:val="28"/>
        </w:rPr>
        <w:t>。这一结果与理论机制部分提出的四条路径基本一致。</w:t>
      </w:r>
    </w:p>
    <w:p w14:paraId="215D78F8" w14:textId="77777777" w:rsidR="005B623A" w:rsidRDefault="00000000">
      <w:pPr>
        <w:pStyle w:val="2"/>
        <w:spacing w:after="62"/>
      </w:pPr>
      <w:r>
        <w:rPr>
          <w:rFonts w:hint="eastAsia"/>
        </w:rPr>
        <w:t>（四）非线性关系与门槛效应</w:t>
      </w:r>
    </w:p>
    <w:p w14:paraId="19F697D0"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t>基于</w:t>
      </w:r>
      <w:proofErr w:type="spellStart"/>
      <w:r>
        <w:rPr>
          <w:rFonts w:hint="eastAsia"/>
          <w:sz w:val="28"/>
          <w:szCs w:val="28"/>
        </w:rPr>
        <w:t>XGBoost</w:t>
      </w:r>
      <w:proofErr w:type="spellEnd"/>
      <w:r>
        <w:rPr>
          <w:rFonts w:hint="eastAsia"/>
          <w:sz w:val="28"/>
          <w:szCs w:val="28"/>
        </w:rPr>
        <w:t>模型的部分依赖图（</w:t>
      </w:r>
      <w:r>
        <w:rPr>
          <w:rFonts w:hint="eastAsia"/>
          <w:sz w:val="28"/>
          <w:szCs w:val="28"/>
        </w:rPr>
        <w:t>PDP</w:t>
      </w:r>
      <w:r>
        <w:rPr>
          <w:rFonts w:hint="eastAsia"/>
          <w:sz w:val="28"/>
          <w:szCs w:val="28"/>
        </w:rPr>
        <w:t>）显示，当数字经济指数低于</w:t>
      </w:r>
      <w:r>
        <w:rPr>
          <w:rFonts w:hint="eastAsia"/>
          <w:sz w:val="28"/>
          <w:szCs w:val="28"/>
        </w:rPr>
        <w:t>0.45</w:t>
      </w:r>
      <w:r>
        <w:rPr>
          <w:rFonts w:hint="eastAsia"/>
          <w:sz w:val="28"/>
          <w:szCs w:val="28"/>
        </w:rPr>
        <w:t>（对应</w:t>
      </w:r>
      <w:r>
        <w:rPr>
          <w:rFonts w:hint="eastAsia"/>
          <w:sz w:val="28"/>
          <w:szCs w:val="28"/>
        </w:rPr>
        <w:t>2016</w:t>
      </w:r>
      <w:r>
        <w:rPr>
          <w:rFonts w:hint="eastAsia"/>
          <w:sz w:val="28"/>
          <w:szCs w:val="28"/>
        </w:rPr>
        <w:t>—</w:t>
      </w:r>
      <w:r>
        <w:rPr>
          <w:rFonts w:hint="eastAsia"/>
          <w:sz w:val="28"/>
          <w:szCs w:val="28"/>
        </w:rPr>
        <w:t>7</w:t>
      </w:r>
      <w:r>
        <w:rPr>
          <w:rFonts w:hint="eastAsia"/>
          <w:sz w:val="28"/>
          <w:szCs w:val="28"/>
        </w:rPr>
        <w:t>年水平）时，边际贡献相对平缓；跨越该水平后，边际贡献有所增强，初步体现非线性特征，符合网络外部性与规模经济的理论预期。</w:t>
      </w:r>
    </w:p>
    <w:p w14:paraId="242AD89C" w14:textId="77777777" w:rsidR="005B623A" w:rsidRDefault="00000000">
      <w:pPr>
        <w:pStyle w:val="2"/>
        <w:spacing w:after="62"/>
      </w:pPr>
      <w:r>
        <w:rPr>
          <w:rFonts w:hint="eastAsia"/>
        </w:rPr>
        <w:t>（五）对研究假设的初步检验</w:t>
      </w:r>
    </w:p>
    <w:p w14:paraId="1AC4AE8B"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H1（数字经济具有正向影响）：得到支持。</w:t>
      </w:r>
    </w:p>
    <w:p w14:paraId="0668C41F"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 xml:space="preserve">H2（精准作业与销售渠道拓展路径相对突出）：得到支持。 </w:t>
      </w:r>
    </w:p>
    <w:p w14:paraId="7C388085"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 xml:space="preserve">H3（数字经济相对重要性与传统补贴相当或略高）：部分支持（基准结果略高，但稳健性检验中排序存在波动）。 </w:t>
      </w:r>
    </w:p>
    <w:p w14:paraId="1EA7756A"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ascii="宋体" w:eastAsia="宋体" w:hAnsi="宋体" w:cs="宋体" w:hint="eastAsia"/>
          <w:sz w:val="28"/>
          <w:szCs w:val="28"/>
        </w:rPr>
        <w:t>H4（存在非线性门槛效应）：得到初步支持。</w:t>
      </w:r>
    </w:p>
    <w:p w14:paraId="19502A2B"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t>总体而言，实证结果表明数字经济是榆林市农业绿色高质量发展的重要关联因素之一，其作用主要通过精准作业与销售渠道路径体现。但由于</w:t>
      </w:r>
      <w:r>
        <w:rPr>
          <w:rFonts w:hint="eastAsia"/>
          <w:sz w:val="28"/>
          <w:szCs w:val="28"/>
        </w:rPr>
        <w:lastRenderedPageBreak/>
        <w:t>样本量小、部分变量缺失较多以及</w:t>
      </w:r>
      <w:proofErr w:type="gramStart"/>
      <w:r>
        <w:rPr>
          <w:rFonts w:hint="eastAsia"/>
          <w:sz w:val="28"/>
          <w:szCs w:val="28"/>
        </w:rPr>
        <w:t>强时间</w:t>
      </w:r>
      <w:proofErr w:type="gramEnd"/>
      <w:r>
        <w:rPr>
          <w:rFonts w:hint="eastAsia"/>
          <w:sz w:val="28"/>
          <w:szCs w:val="28"/>
        </w:rPr>
        <w:t>趋势的存在，特征重要性可能被高估，相关结论需结合稳健性检验谨慎解读。</w:t>
      </w:r>
    </w:p>
    <w:p w14:paraId="336E721D" w14:textId="77777777" w:rsidR="005B623A" w:rsidRDefault="00000000">
      <w:pPr>
        <w:pStyle w:val="1"/>
        <w:spacing w:after="312"/>
        <w:rPr>
          <w:rFonts w:ascii="黑体" w:hAnsi="黑体" w:cs="黑体"/>
          <w:szCs w:val="30"/>
        </w:rPr>
      </w:pPr>
      <w:r>
        <w:rPr>
          <w:rStyle w:val="af6"/>
          <w:rFonts w:ascii="黑体" w:eastAsia="黑体" w:hAnsi="黑体" w:cs="黑体" w:hint="eastAsia"/>
          <w:b/>
          <w:szCs w:val="30"/>
        </w:rPr>
        <w:t>稳健性检验、异质性分析与进一步分析</w:t>
      </w:r>
    </w:p>
    <w:p w14:paraId="2F1C88BF" w14:textId="77777777" w:rsidR="005B623A" w:rsidRDefault="00000000">
      <w:pPr>
        <w:pStyle w:val="2"/>
        <w:spacing w:after="62"/>
      </w:pPr>
      <w:r>
        <w:rPr>
          <w:rFonts w:hint="eastAsia"/>
        </w:rPr>
        <w:t>（一）稳健性检验</w:t>
      </w:r>
    </w:p>
    <w:p w14:paraId="74B6C26D"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t>为评估结果可靠性，本文进行了多项稳健性检验：</w:t>
      </w:r>
    </w:p>
    <w:p w14:paraId="224DD4E6" w14:textId="77777777" w:rsidR="005B623A" w:rsidRDefault="00000000">
      <w:pPr>
        <w:pStyle w:val="af3"/>
        <w:widowControl/>
        <w:numPr>
          <w:ilvl w:val="0"/>
          <w:numId w:val="2"/>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更换为熵值法构建数字经济指数：重要性降至0.0185（低于补贴）。</w:t>
      </w:r>
    </w:p>
    <w:p w14:paraId="1EED346D" w14:textId="77777777" w:rsidR="005B623A" w:rsidRDefault="00000000">
      <w:pPr>
        <w:pStyle w:val="af3"/>
        <w:widowControl/>
        <w:numPr>
          <w:ilvl w:val="0"/>
          <w:numId w:val="2"/>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滞后一期数字经济指数（缓解内生性）：重要性约为0.074（样本剩12）。</w:t>
      </w:r>
    </w:p>
    <w:p w14:paraId="0D010E45" w14:textId="77777777" w:rsidR="005B623A" w:rsidRDefault="00000000">
      <w:pPr>
        <w:pStyle w:val="af3"/>
        <w:widowControl/>
        <w:numPr>
          <w:ilvl w:val="0"/>
          <w:numId w:val="2"/>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删除2018年宽带用户数异常跳跃年份：重要性降至0.058（与补贴相当）。</w:t>
      </w:r>
    </w:p>
    <w:p w14:paraId="7C8D2A48" w14:textId="77777777" w:rsidR="005B623A" w:rsidRDefault="00000000">
      <w:pPr>
        <w:pStyle w:val="af3"/>
        <w:widowControl/>
        <w:numPr>
          <w:ilvl w:val="0"/>
          <w:numId w:val="2"/>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剔除疫情年份（2020—2022）：重要性0.062。</w:t>
      </w:r>
    </w:p>
    <w:p w14:paraId="4E9BF55B" w14:textId="77777777" w:rsidR="005B623A" w:rsidRDefault="00000000">
      <w:pPr>
        <w:pStyle w:val="af3"/>
        <w:widowControl/>
        <w:numPr>
          <w:ilvl w:val="0"/>
          <w:numId w:val="2"/>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更换</w:t>
      </w:r>
      <w:proofErr w:type="gramStart"/>
      <w:r>
        <w:rPr>
          <w:rFonts w:ascii="宋体" w:eastAsia="宋体" w:hAnsi="宋体" w:cs="宋体" w:hint="eastAsia"/>
          <w:sz w:val="28"/>
          <w:szCs w:val="28"/>
        </w:rPr>
        <w:t>模型超</w:t>
      </w:r>
      <w:proofErr w:type="gramEnd"/>
      <w:r>
        <w:rPr>
          <w:rFonts w:ascii="宋体" w:eastAsia="宋体" w:hAnsi="宋体" w:cs="宋体" w:hint="eastAsia"/>
          <w:sz w:val="28"/>
          <w:szCs w:val="28"/>
        </w:rPr>
        <w:t>参数组合：R²波动小于0.02，数字经济重要性排名在第5—7位之间变动。</w:t>
      </w:r>
    </w:p>
    <w:p w14:paraId="50207ECC" w14:textId="77777777" w:rsidR="005B623A" w:rsidRDefault="00000000">
      <w:pPr>
        <w:pStyle w:val="af3"/>
        <w:widowControl/>
        <w:adjustRightInd/>
        <w:snapToGrid/>
        <w:spacing w:after="62" w:line="560" w:lineRule="atLeast"/>
        <w:ind w:firstLineChars="200" w:firstLine="560"/>
        <w:rPr>
          <w:rFonts w:ascii="宋体" w:eastAsia="宋体" w:hAnsi="宋体" w:cs="宋体"/>
          <w:sz w:val="28"/>
          <w:szCs w:val="28"/>
        </w:rPr>
      </w:pPr>
      <w:r>
        <w:rPr>
          <w:rFonts w:hint="eastAsia"/>
          <w:sz w:val="28"/>
          <w:szCs w:val="28"/>
        </w:rPr>
        <w:t>不同处理</w:t>
      </w:r>
      <w:proofErr w:type="gramStart"/>
      <w:r>
        <w:rPr>
          <w:rFonts w:hint="eastAsia"/>
          <w:sz w:val="28"/>
          <w:szCs w:val="28"/>
        </w:rPr>
        <w:t>下数字</w:t>
      </w:r>
      <w:proofErr w:type="gramEnd"/>
      <w:r>
        <w:rPr>
          <w:rFonts w:hint="eastAsia"/>
          <w:sz w:val="28"/>
          <w:szCs w:val="28"/>
        </w:rPr>
        <w:t>经济重要性在</w:t>
      </w:r>
      <w:r>
        <w:rPr>
          <w:rFonts w:hint="eastAsia"/>
          <w:sz w:val="28"/>
          <w:szCs w:val="28"/>
        </w:rPr>
        <w:t>0.0185</w:t>
      </w:r>
      <w:r>
        <w:rPr>
          <w:rFonts w:hint="eastAsia"/>
          <w:sz w:val="28"/>
          <w:szCs w:val="28"/>
        </w:rPr>
        <w:t>—</w:t>
      </w:r>
      <w:r>
        <w:rPr>
          <w:rFonts w:hint="eastAsia"/>
          <w:sz w:val="28"/>
          <w:szCs w:val="28"/>
        </w:rPr>
        <w:t>0.0781</w:t>
      </w:r>
      <w:r>
        <w:rPr>
          <w:rFonts w:hint="eastAsia"/>
          <w:sz w:val="28"/>
          <w:szCs w:val="28"/>
        </w:rPr>
        <w:t>之间波动，表明基准结果对数据填补、指数构建方法及内生性处理较为敏感，数字经济与传统补贴的相对效果尚未达到稳健一致的结论。</w:t>
      </w:r>
    </w:p>
    <w:p w14:paraId="09AD30AE" w14:textId="77777777" w:rsidR="005B623A" w:rsidRDefault="00000000">
      <w:pPr>
        <w:pStyle w:val="2"/>
        <w:spacing w:after="62"/>
      </w:pPr>
      <w:r>
        <w:rPr>
          <w:rFonts w:hint="eastAsia"/>
        </w:rPr>
        <w:t>（二）异质性分析</w:t>
      </w:r>
    </w:p>
    <w:p w14:paraId="54312B26"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t>分阶段考察显示：</w:t>
      </w:r>
      <w:r>
        <w:rPr>
          <w:rFonts w:hint="eastAsia"/>
          <w:sz w:val="28"/>
          <w:szCs w:val="28"/>
        </w:rPr>
        <w:t>2010</w:t>
      </w:r>
      <w:r>
        <w:rPr>
          <w:rFonts w:hint="eastAsia"/>
          <w:sz w:val="28"/>
          <w:szCs w:val="28"/>
        </w:rPr>
        <w:t>—</w:t>
      </w:r>
      <w:r>
        <w:rPr>
          <w:rFonts w:hint="eastAsia"/>
          <w:sz w:val="28"/>
          <w:szCs w:val="28"/>
        </w:rPr>
        <w:t>2016</w:t>
      </w:r>
      <w:r>
        <w:rPr>
          <w:rFonts w:hint="eastAsia"/>
          <w:sz w:val="28"/>
          <w:szCs w:val="28"/>
        </w:rPr>
        <w:t>年数字经济重要性约为</w:t>
      </w:r>
      <w:r>
        <w:rPr>
          <w:rFonts w:hint="eastAsia"/>
          <w:sz w:val="28"/>
          <w:szCs w:val="28"/>
        </w:rPr>
        <w:t>0.042</w:t>
      </w:r>
      <w:r>
        <w:rPr>
          <w:rFonts w:hint="eastAsia"/>
          <w:sz w:val="28"/>
          <w:szCs w:val="28"/>
        </w:rPr>
        <w:t>（低于补贴）；</w:t>
      </w:r>
      <w:r>
        <w:rPr>
          <w:rFonts w:hint="eastAsia"/>
          <w:sz w:val="28"/>
          <w:szCs w:val="28"/>
        </w:rPr>
        <w:t>2017</w:t>
      </w:r>
      <w:r>
        <w:rPr>
          <w:rFonts w:hint="eastAsia"/>
          <w:sz w:val="28"/>
          <w:szCs w:val="28"/>
        </w:rPr>
        <w:t>—</w:t>
      </w:r>
      <w:r>
        <w:rPr>
          <w:rFonts w:hint="eastAsia"/>
          <w:sz w:val="28"/>
          <w:szCs w:val="28"/>
        </w:rPr>
        <w:t>2022</w:t>
      </w:r>
      <w:r>
        <w:rPr>
          <w:rFonts w:hint="eastAsia"/>
          <w:sz w:val="28"/>
          <w:szCs w:val="28"/>
        </w:rPr>
        <w:t>年升至约</w:t>
      </w:r>
      <w:r>
        <w:rPr>
          <w:rFonts w:hint="eastAsia"/>
          <w:sz w:val="28"/>
          <w:szCs w:val="28"/>
        </w:rPr>
        <w:t>0.098</w:t>
      </w:r>
      <w:r>
        <w:rPr>
          <w:rFonts w:hint="eastAsia"/>
          <w:sz w:val="28"/>
          <w:szCs w:val="28"/>
        </w:rPr>
        <w:t>（高于补贴），反映一定阶段性差异，与门槛效应分析一致。</w:t>
      </w:r>
    </w:p>
    <w:p w14:paraId="7D512386" w14:textId="77777777" w:rsidR="005B623A" w:rsidRDefault="00000000">
      <w:pPr>
        <w:pStyle w:val="2"/>
        <w:spacing w:after="62"/>
        <w:rPr>
          <w:rFonts w:ascii="宋体" w:eastAsia="宋体" w:hAnsi="宋体" w:cs="宋体"/>
          <w:kern w:val="0"/>
          <w:sz w:val="27"/>
          <w:szCs w:val="27"/>
          <w:lang w:bidi="ar"/>
        </w:rPr>
      </w:pPr>
      <w:r>
        <w:rPr>
          <w:rFonts w:ascii="宋体" w:eastAsia="宋体" w:hAnsi="宋体" w:cs="宋体" w:hint="eastAsia"/>
          <w:kern w:val="0"/>
          <w:sz w:val="27"/>
          <w:szCs w:val="27"/>
          <w:lang w:bidi="ar"/>
        </w:rPr>
        <w:lastRenderedPageBreak/>
        <w:t>（三）进一步</w:t>
      </w:r>
      <w:r>
        <w:rPr>
          <w:rFonts w:cs="宋体" w:hint="eastAsia"/>
          <w:kern w:val="0"/>
          <w:sz w:val="27"/>
          <w:szCs w:val="27"/>
          <w:lang w:bidi="ar"/>
        </w:rPr>
        <w:t>分析</w:t>
      </w:r>
    </w:p>
    <w:p w14:paraId="2CCCB9E7" w14:textId="77777777" w:rsidR="005B623A" w:rsidRDefault="00000000">
      <w:pPr>
        <w:pStyle w:val="af3"/>
        <w:widowControl/>
        <w:adjustRightInd/>
        <w:snapToGrid/>
        <w:spacing w:after="62" w:line="560" w:lineRule="atLeast"/>
        <w:ind w:left="425" w:hanging="425"/>
        <w:rPr>
          <w:rFonts w:ascii="宋体" w:eastAsia="宋体" w:hAnsi="宋体" w:cs="宋体"/>
          <w:sz w:val="28"/>
          <w:szCs w:val="28"/>
        </w:rPr>
      </w:pPr>
      <w:r>
        <w:rPr>
          <w:rFonts w:ascii="宋体" w:eastAsia="宋体" w:hAnsi="宋体" w:cs="宋体"/>
          <w:sz w:val="28"/>
          <w:szCs w:val="28"/>
        </w:rPr>
        <w:t>1.</w:t>
      </w:r>
      <w:r>
        <w:rPr>
          <w:rFonts w:ascii="宋体" w:eastAsia="宋体" w:hAnsi="宋体" w:cs="宋体" w:hint="eastAsia"/>
          <w:sz w:val="28"/>
          <w:szCs w:val="28"/>
        </w:rPr>
        <w:t>基准结果中数字经济重要性较高的可能原因包括其与时间趋势的较强相关性，以及智慧农业、电商</w:t>
      </w:r>
      <w:proofErr w:type="gramStart"/>
      <w:r>
        <w:rPr>
          <w:rFonts w:ascii="宋体" w:eastAsia="宋体" w:hAnsi="宋体" w:cs="宋体" w:hint="eastAsia"/>
          <w:sz w:val="28"/>
          <w:szCs w:val="28"/>
        </w:rPr>
        <w:t>等子维度</w:t>
      </w:r>
      <w:proofErr w:type="gramEnd"/>
      <w:r>
        <w:rPr>
          <w:rFonts w:ascii="宋体" w:eastAsia="宋体" w:hAnsi="宋体" w:cs="宋体" w:hint="eastAsia"/>
          <w:sz w:val="28"/>
          <w:szCs w:val="28"/>
        </w:rPr>
        <w:t>在后期快速增长带来的贡献。</w:t>
      </w:r>
    </w:p>
    <w:p w14:paraId="45048DE3" w14:textId="77777777" w:rsidR="005B623A" w:rsidRDefault="00000000">
      <w:pPr>
        <w:pStyle w:val="af3"/>
        <w:widowControl/>
        <w:adjustRightInd/>
        <w:snapToGrid/>
        <w:spacing w:after="62" w:line="560" w:lineRule="atLeast"/>
        <w:ind w:left="425" w:hanging="425"/>
        <w:rPr>
          <w:rFonts w:ascii="宋体" w:eastAsia="宋体" w:hAnsi="宋体" w:cs="宋体"/>
          <w:sz w:val="28"/>
          <w:szCs w:val="28"/>
        </w:rPr>
      </w:pPr>
      <w:r>
        <w:rPr>
          <w:rFonts w:ascii="宋体" w:eastAsia="宋体" w:hAnsi="宋体" w:cs="宋体"/>
          <w:sz w:val="28"/>
          <w:szCs w:val="28"/>
        </w:rPr>
        <w:t>2.</w:t>
      </w:r>
      <w:r>
        <w:rPr>
          <w:rFonts w:ascii="宋体" w:eastAsia="宋体" w:hAnsi="宋体" w:cs="宋体" w:hint="eastAsia"/>
          <w:sz w:val="28"/>
          <w:szCs w:val="28"/>
        </w:rPr>
        <w:t>稳健性检验中重要性下降则提示，部分变量缺失与填补方法可能放大早期低值与后期高值的对比效应，导致基准模型高估数字经济作用。</w:t>
      </w:r>
    </w:p>
    <w:p w14:paraId="5AC4156E" w14:textId="77777777" w:rsidR="005B623A" w:rsidRDefault="00000000">
      <w:pPr>
        <w:pStyle w:val="af3"/>
        <w:widowControl/>
        <w:adjustRightInd/>
        <w:snapToGrid/>
        <w:spacing w:after="62" w:line="560" w:lineRule="atLeast"/>
        <w:ind w:left="425" w:hanging="425"/>
        <w:rPr>
          <w:rFonts w:ascii="宋体" w:eastAsia="宋体" w:hAnsi="宋体" w:cs="宋体"/>
          <w:sz w:val="28"/>
          <w:szCs w:val="28"/>
        </w:rPr>
      </w:pPr>
      <w:r>
        <w:rPr>
          <w:rFonts w:ascii="宋体" w:eastAsia="宋体" w:hAnsi="宋体" w:cs="宋体"/>
          <w:sz w:val="28"/>
          <w:szCs w:val="28"/>
        </w:rPr>
        <w:t>3.</w:t>
      </w:r>
      <w:r>
        <w:rPr>
          <w:rFonts w:ascii="宋体" w:eastAsia="宋体" w:hAnsi="宋体" w:cs="宋体" w:hint="eastAsia"/>
          <w:sz w:val="28"/>
          <w:szCs w:val="28"/>
        </w:rPr>
        <w:t>与传统补贴相比，数字经济表现出一定的互补而非替代特征：在资源约束较强的黄土高原地区，数字经济可能通过提升信息与技术效率放大补贴的边际效应。</w:t>
      </w:r>
    </w:p>
    <w:p w14:paraId="2F77003E" w14:textId="77777777" w:rsidR="005B623A" w:rsidRDefault="00000000">
      <w:pPr>
        <w:pStyle w:val="af3"/>
        <w:widowControl/>
        <w:adjustRightInd/>
        <w:snapToGrid/>
        <w:spacing w:after="62" w:line="560" w:lineRule="atLeast"/>
        <w:ind w:left="425" w:hanging="425"/>
        <w:rPr>
          <w:rFonts w:ascii="宋体" w:eastAsia="宋体" w:hAnsi="宋体" w:cs="宋体"/>
          <w:sz w:val="28"/>
          <w:szCs w:val="28"/>
        </w:rPr>
      </w:pPr>
      <w:r>
        <w:rPr>
          <w:rFonts w:ascii="宋体" w:eastAsia="宋体" w:hAnsi="宋体" w:cs="宋体"/>
          <w:sz w:val="28"/>
          <w:szCs w:val="28"/>
        </w:rPr>
        <w:t>4.</w:t>
      </w:r>
      <w:r>
        <w:rPr>
          <w:rFonts w:ascii="宋体" w:eastAsia="宋体" w:hAnsi="宋体" w:cs="宋体" w:hint="eastAsia"/>
          <w:sz w:val="28"/>
          <w:szCs w:val="28"/>
        </w:rPr>
        <w:t>总体来看，数字经济构成榆林市农业绿色高质量发展的重要推动因素之一，但其相对优势尚不稳健，未来政策设计宜采取传统补贴与数字赋能并重的组合策略。</w:t>
      </w:r>
    </w:p>
    <w:p w14:paraId="035117DA" w14:textId="77777777" w:rsidR="005B623A" w:rsidRDefault="00000000">
      <w:pPr>
        <w:pStyle w:val="1"/>
        <w:spacing w:after="312"/>
      </w:pPr>
      <w:r>
        <w:rPr>
          <w:rFonts w:hint="eastAsia"/>
        </w:rPr>
        <w:t>主要结论、政策建议与研究展望</w:t>
      </w:r>
    </w:p>
    <w:p w14:paraId="590CCB0E" w14:textId="77777777" w:rsidR="005B623A" w:rsidRDefault="00000000">
      <w:pPr>
        <w:pStyle w:val="2"/>
        <w:spacing w:after="62"/>
      </w:pPr>
      <w:r>
        <w:rPr>
          <w:rFonts w:hint="eastAsia"/>
        </w:rPr>
        <w:t>（一）主要结论</w:t>
      </w:r>
    </w:p>
    <w:p w14:paraId="5AD6AF27" w14:textId="77777777" w:rsidR="005B623A" w:rsidRDefault="00000000">
      <w:pPr>
        <w:pStyle w:val="af3"/>
        <w:widowControl/>
        <w:adjustRightInd/>
        <w:snapToGrid/>
        <w:spacing w:after="62" w:line="560" w:lineRule="atLeast"/>
        <w:ind w:firstLineChars="200" w:firstLine="560"/>
        <w:rPr>
          <w:sz w:val="28"/>
          <w:szCs w:val="28"/>
        </w:rPr>
      </w:pPr>
      <w:r>
        <w:rPr>
          <w:rFonts w:hint="eastAsia"/>
          <w:sz w:val="28"/>
          <w:szCs w:val="28"/>
        </w:rPr>
        <w:t>基于榆林市</w:t>
      </w:r>
      <w:r>
        <w:rPr>
          <w:rFonts w:hint="eastAsia"/>
          <w:sz w:val="28"/>
          <w:szCs w:val="28"/>
        </w:rPr>
        <w:t>2010</w:t>
      </w:r>
      <w:r>
        <w:rPr>
          <w:rFonts w:hint="eastAsia"/>
          <w:sz w:val="28"/>
          <w:szCs w:val="28"/>
        </w:rPr>
        <w:t>—</w:t>
      </w:r>
      <w:r>
        <w:rPr>
          <w:rFonts w:hint="eastAsia"/>
          <w:sz w:val="28"/>
          <w:szCs w:val="28"/>
        </w:rPr>
        <w:t>2022</w:t>
      </w:r>
      <w:r>
        <w:rPr>
          <w:rFonts w:hint="eastAsia"/>
          <w:sz w:val="28"/>
          <w:szCs w:val="28"/>
        </w:rPr>
        <w:t>年时间序列数据的实证分析，本文得出以下主要结论：</w:t>
      </w:r>
    </w:p>
    <w:p w14:paraId="790A5E8E" w14:textId="77777777" w:rsidR="005B623A" w:rsidRDefault="00000000">
      <w:pPr>
        <w:pStyle w:val="af3"/>
        <w:widowControl/>
        <w:numPr>
          <w:ilvl w:val="0"/>
          <w:numId w:val="3"/>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榆林市农业绿色高质量发展指数与数字经济指数均呈现显著上升趋势，二者Pearson相关系数为0.912（p&lt;0.001），反映出较强的同步性。</w:t>
      </w:r>
    </w:p>
    <w:p w14:paraId="1DDA634D" w14:textId="77777777" w:rsidR="005B623A" w:rsidRDefault="00000000">
      <w:pPr>
        <w:pStyle w:val="af3"/>
        <w:widowControl/>
        <w:numPr>
          <w:ilvl w:val="0"/>
          <w:numId w:val="3"/>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三种机器学习模型在留一法交叉验证（LOOCV）下的R²均超过0.87，最高达0.920，表明样本内拟合较好。</w:t>
      </w:r>
    </w:p>
    <w:p w14:paraId="5E20423C" w14:textId="77777777" w:rsidR="005B623A" w:rsidRDefault="00000000">
      <w:pPr>
        <w:pStyle w:val="af3"/>
        <w:widowControl/>
        <w:numPr>
          <w:ilvl w:val="0"/>
          <w:numId w:val="3"/>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lastRenderedPageBreak/>
        <w:t>在基准结果中，数字经济指数的特征重要性在政策可干预变量中排名靠前，平均重要性0.067，高于农业补贴金额（0.049），但在熵值法、滞后一期处理等稳健性检验中重要性显著下降（最低0.0185），说明其相对优势对指数构建方法与数据处理方式较为敏感。</w:t>
      </w:r>
    </w:p>
    <w:p w14:paraId="1699D9A8" w14:textId="77777777" w:rsidR="005B623A" w:rsidRDefault="00000000">
      <w:pPr>
        <w:pStyle w:val="af3"/>
        <w:widowControl/>
        <w:numPr>
          <w:ilvl w:val="0"/>
          <w:numId w:val="3"/>
        </w:numPr>
        <w:adjustRightInd/>
        <w:snapToGrid/>
        <w:spacing w:after="62" w:line="560" w:lineRule="atLeast"/>
        <w:rPr>
          <w:rFonts w:ascii="宋体" w:eastAsia="宋体" w:hAnsi="宋体" w:cs="宋体"/>
          <w:sz w:val="28"/>
          <w:szCs w:val="28"/>
        </w:rPr>
      </w:pPr>
      <w:r>
        <w:rPr>
          <w:rFonts w:ascii="宋体" w:eastAsia="宋体" w:hAnsi="宋体" w:cs="宋体" w:hint="eastAsia"/>
          <w:sz w:val="28"/>
          <w:szCs w:val="28"/>
        </w:rPr>
        <w:t>数字经济内部，智慧农业应用面积与</w:t>
      </w:r>
      <w:proofErr w:type="gramStart"/>
      <w:r>
        <w:rPr>
          <w:rFonts w:ascii="宋体" w:eastAsia="宋体" w:hAnsi="宋体" w:cs="宋体" w:hint="eastAsia"/>
          <w:sz w:val="28"/>
          <w:szCs w:val="28"/>
        </w:rPr>
        <w:t>农业电</w:t>
      </w:r>
      <w:proofErr w:type="gramEnd"/>
      <w:r>
        <w:rPr>
          <w:rFonts w:ascii="宋体" w:eastAsia="宋体" w:hAnsi="宋体" w:cs="宋体" w:hint="eastAsia"/>
          <w:sz w:val="28"/>
          <w:szCs w:val="28"/>
        </w:rPr>
        <w:t>商交易额贡献相对较大，分别对应精准作业与销售渠道拓展路径；部分依赖图显示2016—2017年后边际贡献有所增强，初步体现门槛特征。</w:t>
      </w:r>
    </w:p>
    <w:p w14:paraId="273FBE0D" w14:textId="77777777" w:rsidR="005B623A" w:rsidRDefault="00000000">
      <w:pPr>
        <w:pStyle w:val="af3"/>
        <w:widowControl/>
        <w:adjustRightInd/>
        <w:snapToGrid/>
        <w:spacing w:after="62" w:line="560" w:lineRule="atLeast"/>
        <w:ind w:firstLineChars="200" w:firstLine="560"/>
        <w:rPr>
          <w:sz w:val="28"/>
          <w:szCs w:val="28"/>
        </w:rPr>
      </w:pPr>
      <w:r>
        <w:rPr>
          <w:sz w:val="28"/>
          <w:szCs w:val="28"/>
        </w:rPr>
        <w:t>总体而言，数字经济构成榆林市农业绿色高质量发展的重要关联因素之一，但受样本量小、部分变量缺失较多以及</w:t>
      </w:r>
      <w:proofErr w:type="gramStart"/>
      <w:r>
        <w:rPr>
          <w:sz w:val="28"/>
          <w:szCs w:val="28"/>
        </w:rPr>
        <w:t>强时间</w:t>
      </w:r>
      <w:proofErr w:type="gramEnd"/>
      <w:r>
        <w:rPr>
          <w:sz w:val="28"/>
          <w:szCs w:val="28"/>
        </w:rPr>
        <w:t>趋势影响，其作用强度与相对优势尚不稳健，难以得出其已显著超越传统补贴的确定性结论。</w:t>
      </w:r>
    </w:p>
    <w:p w14:paraId="536ABF28" w14:textId="77777777" w:rsidR="005B623A" w:rsidRDefault="00000000">
      <w:pPr>
        <w:pStyle w:val="2"/>
        <w:spacing w:after="62"/>
      </w:pPr>
      <w:r>
        <w:rPr>
          <w:rFonts w:hint="eastAsia"/>
        </w:rPr>
        <w:t>（二）政策建议</w:t>
      </w:r>
    </w:p>
    <w:p w14:paraId="4134317B" w14:textId="77777777" w:rsidR="005B623A" w:rsidRDefault="00000000">
      <w:pPr>
        <w:pStyle w:val="af3"/>
        <w:widowControl/>
        <w:adjustRightInd/>
        <w:snapToGrid/>
        <w:spacing w:after="62" w:line="560" w:lineRule="atLeast"/>
        <w:ind w:firstLineChars="200" w:firstLine="560"/>
        <w:rPr>
          <w:sz w:val="28"/>
          <w:szCs w:val="28"/>
        </w:rPr>
      </w:pPr>
      <w:r>
        <w:rPr>
          <w:sz w:val="28"/>
          <w:szCs w:val="28"/>
        </w:rPr>
        <w:t>鉴于数字经济与农业绿色高质量发展之间存在正向关联，且在某些情景下表现出一定潜力，本文提出以下温和、可操作的政策建议：</w:t>
      </w:r>
    </w:p>
    <w:p w14:paraId="0A5B0E42" w14:textId="77777777" w:rsidR="005B623A" w:rsidRDefault="00000000">
      <w:pPr>
        <w:pStyle w:val="af3"/>
        <w:widowControl/>
        <w:numPr>
          <w:ilvl w:val="0"/>
          <w:numId w:val="4"/>
        </w:numPr>
        <w:adjustRightInd/>
        <w:snapToGrid/>
        <w:spacing w:after="62" w:line="560" w:lineRule="atLeast"/>
        <w:rPr>
          <w:sz w:val="28"/>
          <w:szCs w:val="28"/>
        </w:rPr>
      </w:pPr>
      <w:r>
        <w:rPr>
          <w:sz w:val="28"/>
          <w:szCs w:val="28"/>
        </w:rPr>
        <w:t>在保持传统财政补贴稳定性的基础上，适度增加农村宽带、</w:t>
      </w:r>
      <w:r>
        <w:rPr>
          <w:sz w:val="28"/>
          <w:szCs w:val="28"/>
        </w:rPr>
        <w:t>5G</w:t>
      </w:r>
      <w:r>
        <w:rPr>
          <w:sz w:val="28"/>
          <w:szCs w:val="28"/>
        </w:rPr>
        <w:t>基站、智慧农业设备等数字基础设施投入，形成传统政策与数字赋能的互补格局。</w:t>
      </w:r>
    </w:p>
    <w:p w14:paraId="623EB3E5" w14:textId="77777777" w:rsidR="005B623A" w:rsidRDefault="00000000">
      <w:pPr>
        <w:pStyle w:val="af3"/>
        <w:widowControl/>
        <w:numPr>
          <w:ilvl w:val="0"/>
          <w:numId w:val="4"/>
        </w:numPr>
        <w:adjustRightInd/>
        <w:snapToGrid/>
        <w:spacing w:after="62" w:line="560" w:lineRule="atLeast"/>
        <w:rPr>
          <w:sz w:val="28"/>
          <w:szCs w:val="28"/>
        </w:rPr>
      </w:pPr>
      <w:r>
        <w:rPr>
          <w:sz w:val="28"/>
          <w:szCs w:val="28"/>
        </w:rPr>
        <w:t>鼓励开展数字农业试点示范，重点支持变量施肥施药、无人机植保、</w:t>
      </w:r>
      <w:proofErr w:type="gramStart"/>
      <w:r>
        <w:rPr>
          <w:sz w:val="28"/>
          <w:szCs w:val="28"/>
        </w:rPr>
        <w:t>农业电</w:t>
      </w:r>
      <w:proofErr w:type="gramEnd"/>
      <w:r>
        <w:rPr>
          <w:sz w:val="28"/>
          <w:szCs w:val="28"/>
        </w:rPr>
        <w:t>商平台等应用场景，优先在资源约束较强的丘陵沟壑区布局。</w:t>
      </w:r>
    </w:p>
    <w:p w14:paraId="1A8841B1" w14:textId="77777777" w:rsidR="005B623A" w:rsidRDefault="00000000">
      <w:pPr>
        <w:pStyle w:val="af3"/>
        <w:widowControl/>
        <w:numPr>
          <w:ilvl w:val="0"/>
          <w:numId w:val="4"/>
        </w:numPr>
        <w:adjustRightInd/>
        <w:snapToGrid/>
        <w:spacing w:after="62" w:line="560" w:lineRule="atLeast"/>
        <w:rPr>
          <w:sz w:val="28"/>
          <w:szCs w:val="28"/>
        </w:rPr>
      </w:pPr>
      <w:r>
        <w:rPr>
          <w:sz w:val="28"/>
          <w:szCs w:val="28"/>
        </w:rPr>
        <w:t>探索将</w:t>
      </w:r>
      <w:proofErr w:type="gramStart"/>
      <w:r>
        <w:rPr>
          <w:sz w:val="28"/>
          <w:szCs w:val="28"/>
        </w:rPr>
        <w:t>农业电</w:t>
      </w:r>
      <w:proofErr w:type="gramEnd"/>
      <w:r>
        <w:rPr>
          <w:sz w:val="28"/>
          <w:szCs w:val="28"/>
        </w:rPr>
        <w:t>商交易额、智慧农业应用面积等数字指标纳入绿色农产品认证与</w:t>
      </w:r>
      <w:proofErr w:type="gramStart"/>
      <w:r>
        <w:rPr>
          <w:sz w:val="28"/>
          <w:szCs w:val="28"/>
        </w:rPr>
        <w:t>财政奖补的</w:t>
      </w:r>
      <w:proofErr w:type="gramEnd"/>
      <w:r>
        <w:rPr>
          <w:sz w:val="28"/>
          <w:szCs w:val="28"/>
        </w:rPr>
        <w:t>参考因素，建立联动激励机制。</w:t>
      </w:r>
    </w:p>
    <w:p w14:paraId="784CF38C" w14:textId="77777777" w:rsidR="005B623A" w:rsidRDefault="00000000">
      <w:pPr>
        <w:pStyle w:val="af3"/>
        <w:widowControl/>
        <w:numPr>
          <w:ilvl w:val="0"/>
          <w:numId w:val="4"/>
        </w:numPr>
        <w:adjustRightInd/>
        <w:snapToGrid/>
        <w:spacing w:after="62" w:line="560" w:lineRule="atLeast"/>
        <w:rPr>
          <w:sz w:val="28"/>
          <w:szCs w:val="28"/>
        </w:rPr>
      </w:pPr>
      <w:r>
        <w:rPr>
          <w:sz w:val="28"/>
          <w:szCs w:val="28"/>
        </w:rPr>
        <w:lastRenderedPageBreak/>
        <w:t>创新数字支持工具，如发放针对性</w:t>
      </w:r>
      <w:r>
        <w:rPr>
          <w:sz w:val="28"/>
          <w:szCs w:val="28"/>
        </w:rPr>
        <w:t>“</w:t>
      </w:r>
      <w:r>
        <w:rPr>
          <w:sz w:val="28"/>
          <w:szCs w:val="28"/>
        </w:rPr>
        <w:t>数字券</w:t>
      </w:r>
      <w:r>
        <w:rPr>
          <w:sz w:val="28"/>
          <w:szCs w:val="28"/>
        </w:rPr>
        <w:t>”</w:t>
      </w:r>
      <w:r>
        <w:rPr>
          <w:sz w:val="28"/>
          <w:szCs w:val="28"/>
        </w:rPr>
        <w:t>或技术培训</w:t>
      </w:r>
      <w:proofErr w:type="gramStart"/>
      <w:r>
        <w:rPr>
          <w:sz w:val="28"/>
          <w:szCs w:val="28"/>
        </w:rPr>
        <w:t>券</w:t>
      </w:r>
      <w:proofErr w:type="gramEnd"/>
      <w:r>
        <w:rPr>
          <w:sz w:val="28"/>
          <w:szCs w:val="28"/>
        </w:rPr>
        <w:t>，降低农户采用数字技术的门槛。</w:t>
      </w:r>
    </w:p>
    <w:p w14:paraId="3B28304E" w14:textId="77777777" w:rsidR="005B623A" w:rsidRDefault="00000000">
      <w:pPr>
        <w:pStyle w:val="af3"/>
        <w:widowControl/>
        <w:numPr>
          <w:ilvl w:val="0"/>
          <w:numId w:val="4"/>
        </w:numPr>
        <w:adjustRightInd/>
        <w:snapToGrid/>
        <w:spacing w:after="62" w:line="560" w:lineRule="atLeast"/>
        <w:rPr>
          <w:sz w:val="28"/>
          <w:szCs w:val="28"/>
        </w:rPr>
      </w:pPr>
      <w:r>
        <w:rPr>
          <w:sz w:val="28"/>
          <w:szCs w:val="28"/>
        </w:rPr>
        <w:t>加强农业农村数字指标统计监测，完善信息传输业产值、智慧农业面积等数据的连续性与准确性，为后续政策评估提供更可靠依据。</w:t>
      </w:r>
    </w:p>
    <w:p w14:paraId="0FD1F04A" w14:textId="77777777" w:rsidR="005B623A" w:rsidRDefault="00000000">
      <w:pPr>
        <w:pStyle w:val="2"/>
        <w:spacing w:after="62"/>
      </w:pPr>
      <w:r>
        <w:t>（三）研究展望</w:t>
      </w:r>
    </w:p>
    <w:p w14:paraId="03FBF318" w14:textId="77777777" w:rsidR="005B623A" w:rsidRDefault="00000000">
      <w:pPr>
        <w:pStyle w:val="af3"/>
        <w:widowControl/>
        <w:adjustRightInd/>
        <w:snapToGrid/>
        <w:spacing w:after="62" w:line="560" w:lineRule="atLeast"/>
        <w:ind w:firstLineChars="200" w:firstLine="560"/>
        <w:rPr>
          <w:sz w:val="28"/>
          <w:szCs w:val="28"/>
        </w:rPr>
      </w:pPr>
      <w:r>
        <w:rPr>
          <w:sz w:val="28"/>
          <w:szCs w:val="28"/>
        </w:rPr>
        <w:t>受样本量与数据质量限制，本文结论仅具探索性。未来研究可在以下方向深化：</w:t>
      </w:r>
    </w:p>
    <w:p w14:paraId="73A999A3" w14:textId="77777777" w:rsidR="005B623A" w:rsidRDefault="00000000">
      <w:pPr>
        <w:pStyle w:val="af3"/>
        <w:widowControl/>
        <w:numPr>
          <w:ilvl w:val="0"/>
          <w:numId w:val="5"/>
        </w:numPr>
        <w:adjustRightInd/>
        <w:snapToGrid/>
        <w:spacing w:after="62" w:line="560" w:lineRule="atLeast"/>
        <w:rPr>
          <w:sz w:val="28"/>
          <w:szCs w:val="28"/>
        </w:rPr>
      </w:pPr>
      <w:r>
        <w:rPr>
          <w:sz w:val="28"/>
          <w:szCs w:val="28"/>
        </w:rPr>
        <w:t>扩展样本范围至黄土高原多个地市或县域面板数据，提高观测点数量与代表性。</w:t>
      </w:r>
    </w:p>
    <w:p w14:paraId="4C77EBB7" w14:textId="77777777" w:rsidR="005B623A" w:rsidRDefault="00000000">
      <w:pPr>
        <w:pStyle w:val="af3"/>
        <w:widowControl/>
        <w:numPr>
          <w:ilvl w:val="0"/>
          <w:numId w:val="5"/>
        </w:numPr>
        <w:adjustRightInd/>
        <w:snapToGrid/>
        <w:spacing w:after="62" w:line="560" w:lineRule="atLeast"/>
        <w:rPr>
          <w:sz w:val="28"/>
          <w:szCs w:val="28"/>
        </w:rPr>
      </w:pPr>
      <w:r>
        <w:rPr>
          <w:sz w:val="28"/>
          <w:szCs w:val="28"/>
        </w:rPr>
        <w:t>引入国家电子商务进农村综合示范县、数字乡村试点等外生政策冲击，进行更严格的因果识别。</w:t>
      </w:r>
    </w:p>
    <w:p w14:paraId="2F9A9BBB" w14:textId="77777777" w:rsidR="005B623A" w:rsidRDefault="00000000">
      <w:pPr>
        <w:pStyle w:val="af3"/>
        <w:widowControl/>
        <w:numPr>
          <w:ilvl w:val="0"/>
          <w:numId w:val="5"/>
        </w:numPr>
        <w:adjustRightInd/>
        <w:snapToGrid/>
        <w:spacing w:after="62" w:line="560" w:lineRule="atLeast"/>
        <w:rPr>
          <w:sz w:val="28"/>
          <w:szCs w:val="28"/>
        </w:rPr>
      </w:pPr>
      <w:r>
        <w:rPr>
          <w:sz w:val="28"/>
          <w:szCs w:val="28"/>
        </w:rPr>
        <w:t>结合农户微观调查数据（如</w:t>
      </w:r>
      <w:r>
        <w:rPr>
          <w:sz w:val="28"/>
          <w:szCs w:val="28"/>
        </w:rPr>
        <w:t>CFPS</w:t>
      </w:r>
      <w:r>
        <w:rPr>
          <w:sz w:val="28"/>
          <w:szCs w:val="28"/>
        </w:rPr>
        <w:t>或专项调研），从微观层面检验数字经济的作用机制与异质性效应。</w:t>
      </w:r>
    </w:p>
    <w:p w14:paraId="59551D03" w14:textId="77777777" w:rsidR="005B623A" w:rsidRDefault="00000000">
      <w:pPr>
        <w:pStyle w:val="af3"/>
        <w:widowControl/>
        <w:numPr>
          <w:ilvl w:val="0"/>
          <w:numId w:val="5"/>
        </w:numPr>
        <w:adjustRightInd/>
        <w:snapToGrid/>
        <w:spacing w:after="62" w:line="560" w:lineRule="atLeast"/>
        <w:rPr>
          <w:sz w:val="28"/>
          <w:szCs w:val="28"/>
        </w:rPr>
      </w:pPr>
      <w:r>
        <w:rPr>
          <w:sz w:val="28"/>
          <w:szCs w:val="28"/>
        </w:rPr>
        <w:t>利用高频遥感数据（</w:t>
      </w:r>
      <w:r>
        <w:rPr>
          <w:sz w:val="28"/>
          <w:szCs w:val="28"/>
        </w:rPr>
        <w:t>NDVI</w:t>
      </w:r>
      <w:r>
        <w:rPr>
          <w:sz w:val="28"/>
          <w:szCs w:val="28"/>
        </w:rPr>
        <w:t>、夜间灯光等）或手机信令数据，构建更高频的绿色发展与数字经济指标，提升分析的时效性与精度。</w:t>
      </w:r>
    </w:p>
    <w:p w14:paraId="3146F241" w14:textId="77777777" w:rsidR="005B623A" w:rsidRDefault="00000000">
      <w:pPr>
        <w:pStyle w:val="af3"/>
        <w:widowControl/>
        <w:numPr>
          <w:ilvl w:val="0"/>
          <w:numId w:val="5"/>
        </w:numPr>
        <w:adjustRightInd/>
        <w:snapToGrid/>
        <w:spacing w:after="62" w:line="560" w:lineRule="atLeast"/>
        <w:rPr>
          <w:sz w:val="28"/>
          <w:szCs w:val="28"/>
        </w:rPr>
      </w:pPr>
      <w:r>
        <w:rPr>
          <w:sz w:val="28"/>
          <w:szCs w:val="28"/>
        </w:rPr>
        <w:t>进一步比较数字经济与传统补贴的长期动态效应，探讨二者在不同资源禀赋与生态约束下的互补或替代关系。</w:t>
      </w:r>
    </w:p>
    <w:p w14:paraId="09C86C40" w14:textId="77777777" w:rsidR="005B623A" w:rsidRDefault="00000000">
      <w:pPr>
        <w:pStyle w:val="1"/>
        <w:spacing w:after="312"/>
      </w:pPr>
      <w:r>
        <w:rPr>
          <w:rFonts w:hint="eastAsia"/>
        </w:rPr>
        <w:t>参考文献</w:t>
      </w:r>
    </w:p>
    <w:p w14:paraId="68ED9569"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[1] 刘涛, 尹朝静, 吴绍华. 中国农业绿色高质量发展水平测度及区域差异[J]. 中国农业资源与区划, 2021, 42(9): 1-11. </w:t>
      </w:r>
    </w:p>
    <w:p w14:paraId="7D89C5E4"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[2] 尹朝静, 李谷成, 范丽霞. 中国农业绿色高质量发展水平测度、区域差异及收敛性分析[J]. 中国农业大学学报, 2022, 27(9): 1-15. </w:t>
      </w:r>
    </w:p>
    <w:p w14:paraId="2979B97C"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lastRenderedPageBreak/>
        <w:t xml:space="preserve">[3] 李谷成, 冯中朝, 范丽霞. 中国农业全要素生产率增长：1978—2020[J]. 中国农村经济, 2022(5): 1-21. </w:t>
      </w:r>
    </w:p>
    <w:p w14:paraId="3DCD950D"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[4] 唐要家, 郭豪, 任晓明. 数字经济、创业活跃度与共同富裕[J]. 管理世界, 2022, 38(1): 81-96. </w:t>
      </w:r>
    </w:p>
    <w:p w14:paraId="12DBE6BF"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[5] Athey S, </w:t>
      </w:r>
      <w:proofErr w:type="spellStart"/>
      <w:r>
        <w:rPr>
          <w:rFonts w:ascii="宋体" w:eastAsia="宋体" w:hAnsi="宋体" w:cs="宋体" w:hint="eastAsia"/>
        </w:rPr>
        <w:t>Imbens</w:t>
      </w:r>
      <w:proofErr w:type="spellEnd"/>
      <w:r>
        <w:rPr>
          <w:rFonts w:ascii="宋体" w:eastAsia="宋体" w:hAnsi="宋体" w:cs="宋体" w:hint="eastAsia"/>
        </w:rPr>
        <w:t xml:space="preserve"> G W. Machine learning methods that economists should know about[J]. Annual Review of Economics, 2019, 11: 685-725. </w:t>
      </w:r>
    </w:p>
    <w:p w14:paraId="192FEAC1"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[6] </w:t>
      </w:r>
      <w:proofErr w:type="spellStart"/>
      <w:r>
        <w:rPr>
          <w:rFonts w:ascii="宋体" w:eastAsia="宋体" w:hAnsi="宋体" w:cs="宋体" w:hint="eastAsia"/>
        </w:rPr>
        <w:t>Breiman</w:t>
      </w:r>
      <w:proofErr w:type="spellEnd"/>
      <w:r>
        <w:rPr>
          <w:rFonts w:ascii="宋体" w:eastAsia="宋体" w:hAnsi="宋体" w:cs="宋体" w:hint="eastAsia"/>
        </w:rPr>
        <w:t xml:space="preserve"> L. Random forests[J]. Machine Learning, 2001, 45(1): 5-32. </w:t>
      </w:r>
    </w:p>
    <w:p w14:paraId="5E4DBEE2"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[7] Couture V, Faber B, Gu Y, et al. Connecting the countryside via e-commerce: Evidence from China[J]. American Economic Review: Insights, 2021, 3(1): 35-50. [8] 李怡, 柯文岚, </w:t>
      </w:r>
      <w:proofErr w:type="gramStart"/>
      <w:r>
        <w:rPr>
          <w:rFonts w:ascii="宋体" w:eastAsia="宋体" w:hAnsi="宋体" w:cs="宋体" w:hint="eastAsia"/>
        </w:rPr>
        <w:t>杨伟聪</w:t>
      </w:r>
      <w:proofErr w:type="gramEnd"/>
      <w:r>
        <w:rPr>
          <w:rFonts w:ascii="宋体" w:eastAsia="宋体" w:hAnsi="宋体" w:cs="宋体" w:hint="eastAsia"/>
        </w:rPr>
        <w:t xml:space="preserve">. 电商发展对农村家庭创业的影响[J]. 经济学（季刊）, 2023, 22(1): 123-142. </w:t>
      </w:r>
    </w:p>
    <w:p w14:paraId="67A0DCF5"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[9] 张舰, 吴比, 李哲. 智慧农业发展对农业碳排放的影响研究[J]. 中国软科学, 2024(3): 45-56. </w:t>
      </w:r>
    </w:p>
    <w:p w14:paraId="2149A2AF"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[10] </w:t>
      </w:r>
      <w:proofErr w:type="gramStart"/>
      <w:r>
        <w:rPr>
          <w:rFonts w:ascii="宋体" w:eastAsia="宋体" w:hAnsi="宋体" w:cs="宋体" w:hint="eastAsia"/>
        </w:rPr>
        <w:t>赵会杰</w:t>
      </w:r>
      <w:proofErr w:type="gramEnd"/>
      <w:r>
        <w:rPr>
          <w:rFonts w:ascii="宋体" w:eastAsia="宋体" w:hAnsi="宋体" w:cs="宋体" w:hint="eastAsia"/>
        </w:rPr>
        <w:t xml:space="preserve">, 李同昇, 何骥. 黄河流域农业绿色全要素生产率测度及影响因素[J]. 资源科学, 2021, 43(11): 2297-2310. </w:t>
      </w:r>
    </w:p>
    <w:p w14:paraId="20F2DAD5"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[11] Acemoglu D, Restrepo P. Automation and new tasks: How technology displaces and reinstates labor[J]. Journal of Economic Perspectives, 2019, 33(2): 3-30. [12] 陈伟, </w:t>
      </w:r>
      <w:proofErr w:type="gramStart"/>
      <w:r>
        <w:rPr>
          <w:rFonts w:ascii="宋体" w:eastAsia="宋体" w:hAnsi="宋体" w:cs="宋体" w:hint="eastAsia"/>
        </w:rPr>
        <w:t>吴莹</w:t>
      </w:r>
      <w:proofErr w:type="gramEnd"/>
      <w:r>
        <w:rPr>
          <w:rFonts w:ascii="宋体" w:eastAsia="宋体" w:hAnsi="宋体" w:cs="宋体" w:hint="eastAsia"/>
        </w:rPr>
        <w:t xml:space="preserve">, 王建明. 数字经济驱动农业农村现代化的机理与实证[J]. 农业经济问题, 2023(8): 55-68. </w:t>
      </w:r>
    </w:p>
    <w:p w14:paraId="1FC1ED41"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[13] Finger R, Swinton S M, El Benni N, et al. Precision farming at the nexus of agricultural production and the environment[J]. Annual Review of Resource Economics, 2019, 11: 313-335. </w:t>
      </w:r>
    </w:p>
    <w:p w14:paraId="6DB7A237"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 xml:space="preserve">[14] 裴长洪, 倪江飞, 李越. 数字经济的政治经济学分析[J]. 财贸经济, 2018, 39(9): 5-22. </w:t>
      </w:r>
    </w:p>
    <w:p w14:paraId="38D6FC63" w14:textId="77777777" w:rsidR="005B623A" w:rsidRDefault="00000000">
      <w:pPr>
        <w:pStyle w:val="af3"/>
        <w:widowControl/>
        <w:adjustRightInd/>
        <w:snapToGrid/>
        <w:spacing w:after="62" w:line="240" w:lineRule="auto"/>
        <w:ind w:firstLineChars="200" w:firstLine="480"/>
        <w:rPr>
          <w:rFonts w:ascii="宋体" w:eastAsia="宋体" w:hAnsi="宋体" w:cs="宋体"/>
        </w:rPr>
      </w:pPr>
      <w:r>
        <w:rPr>
          <w:rFonts w:ascii="宋体" w:eastAsia="宋体" w:hAnsi="宋体" w:cs="宋体" w:hint="eastAsia"/>
        </w:rPr>
        <w:t>[15] 国家统计局. 数字经济及其核心产业统计分类（2021）[Z]. 2021. [16] 习近平. 高质量发展是全面建设社会主义现代化国家的首要任务[N]. 人民日报, 2023-03-06.</w:t>
      </w:r>
    </w:p>
    <w:p w14:paraId="2A9D24BA" w14:textId="77777777" w:rsidR="005B623A" w:rsidRDefault="00000000">
      <w:pPr>
        <w:pStyle w:val="af3"/>
        <w:widowControl/>
        <w:adjustRightInd/>
        <w:snapToGrid/>
        <w:spacing w:after="62" w:line="240" w:lineRule="auto"/>
        <w:ind w:firstLineChars="200" w:firstLine="482"/>
        <w:rPr>
          <w:rFonts w:ascii="宋体" w:eastAsia="宋体" w:hAnsi="宋体" w:cs="宋体"/>
        </w:rPr>
      </w:pPr>
      <w:r>
        <w:rPr>
          <w:rStyle w:val="af6"/>
          <w:rFonts w:ascii="宋体" w:eastAsia="宋体" w:hAnsi="宋体" w:cs="宋体" w:hint="eastAsia"/>
        </w:rPr>
        <w:t>附录</w:t>
      </w:r>
      <w:r>
        <w:rPr>
          <w:rFonts w:ascii="宋体" w:eastAsia="宋体" w:hAnsi="宋体" w:cs="宋体" w:hint="eastAsia"/>
        </w:rPr>
        <w:t xml:space="preserve"> 实证分析完整代码及数据已上传至GitHub仓库：</w:t>
      </w:r>
      <w:hyperlink r:id="rId14" w:tgtFrame="_blank" w:history="1">
        <w:r>
          <w:rPr>
            <w:rStyle w:val="afb"/>
            <w:rFonts w:ascii="宋体" w:eastAsia="宋体" w:hAnsi="宋体" w:cs="宋体" w:hint="eastAsia"/>
          </w:rPr>
          <w:t>https://github.com/YY_Practice/课程论文</w:t>
        </w:r>
      </w:hyperlink>
    </w:p>
    <w:p w14:paraId="6996C757" w14:textId="77777777" w:rsidR="005B623A" w:rsidRDefault="005B623A">
      <w:pPr>
        <w:pStyle w:val="af3"/>
        <w:widowControl/>
        <w:adjustRightInd/>
        <w:snapToGrid/>
        <w:spacing w:after="62" w:line="240" w:lineRule="auto"/>
        <w:ind w:firstLineChars="200" w:firstLine="480"/>
        <w:rPr>
          <w:rFonts w:ascii="宋体" w:eastAsia="宋体" w:hAnsi="宋体" w:cs="宋体"/>
        </w:rPr>
      </w:pPr>
    </w:p>
    <w:sectPr w:rsidR="005B623A">
      <w:pgSz w:w="11906" w:h="16838"/>
      <w:pgMar w:top="1440" w:right="1286"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A6FA" w14:textId="77777777" w:rsidR="001D55C3" w:rsidRDefault="001D55C3">
      <w:pPr>
        <w:spacing w:after="48" w:line="240" w:lineRule="auto"/>
      </w:pPr>
      <w:r>
        <w:separator/>
      </w:r>
    </w:p>
  </w:endnote>
  <w:endnote w:type="continuationSeparator" w:id="0">
    <w:p w14:paraId="5CA85535" w14:textId="77777777" w:rsidR="001D55C3" w:rsidRDefault="001D55C3">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B044" w14:textId="77777777" w:rsidR="005B623A" w:rsidRDefault="00000000">
    <w:pPr>
      <w:pStyle w:val="ac"/>
      <w:spacing w:after="48"/>
    </w:pPr>
    <w:r>
      <w:rPr>
        <w:noProof/>
      </w:rPr>
      <mc:AlternateContent>
        <mc:Choice Requires="wps">
          <w:drawing>
            <wp:anchor distT="0" distB="0" distL="114300" distR="114300" simplePos="0" relativeHeight="251659264" behindDoc="0" locked="0" layoutInCell="1" allowOverlap="1" wp14:anchorId="1B7EA493" wp14:editId="647C4E6D">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D9A030" w14:textId="77777777" w:rsidR="005B623A" w:rsidRDefault="00000000">
                          <w:pPr>
                            <w:pStyle w:val="ac"/>
                            <w:spacing w:after="48"/>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1B7EA493"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0FD9A030" w14:textId="77777777" w:rsidR="005B623A" w:rsidRDefault="00000000">
                    <w:pPr>
                      <w:pStyle w:val="ac"/>
                      <w:spacing w:after="4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CC5DB" w14:textId="77777777" w:rsidR="001D55C3" w:rsidRDefault="001D55C3">
      <w:pPr>
        <w:spacing w:after="48"/>
      </w:pPr>
      <w:r>
        <w:separator/>
      </w:r>
    </w:p>
  </w:footnote>
  <w:footnote w:type="continuationSeparator" w:id="0">
    <w:p w14:paraId="1AE057EF" w14:textId="77777777" w:rsidR="001D55C3" w:rsidRDefault="001D55C3">
      <w:pPr>
        <w:spacing w:after="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A57D" w14:textId="77777777" w:rsidR="005B623A" w:rsidRDefault="005B623A">
    <w:pPr>
      <w:pStyle w:val="ae"/>
      <w:pBdr>
        <w:bottom w:val="none" w:sz="0" w:space="0" w:color="auto"/>
      </w:pBdr>
      <w:spacing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55DF5B"/>
    <w:multiLevelType w:val="singleLevel"/>
    <w:tmpl w:val="AC55DF5B"/>
    <w:lvl w:ilvl="0">
      <w:start w:val="1"/>
      <w:numFmt w:val="chineseCounting"/>
      <w:pStyle w:val="1"/>
      <w:suff w:val="nothing"/>
      <w:lvlText w:val="%1、"/>
      <w:lvlJc w:val="left"/>
      <w:pPr>
        <w:ind w:left="0" w:firstLine="420"/>
      </w:pPr>
      <w:rPr>
        <w:rFonts w:hint="eastAsia"/>
      </w:rPr>
    </w:lvl>
  </w:abstractNum>
  <w:abstractNum w:abstractNumId="1" w15:restartNumberingAfterBreak="0">
    <w:nsid w:val="C38C703C"/>
    <w:multiLevelType w:val="singleLevel"/>
    <w:tmpl w:val="C38C703C"/>
    <w:lvl w:ilvl="0">
      <w:start w:val="1"/>
      <w:numFmt w:val="decimal"/>
      <w:lvlText w:val="%1."/>
      <w:lvlJc w:val="left"/>
      <w:pPr>
        <w:ind w:left="425" w:hanging="425"/>
      </w:pPr>
      <w:rPr>
        <w:rFonts w:hint="default"/>
      </w:rPr>
    </w:lvl>
  </w:abstractNum>
  <w:abstractNum w:abstractNumId="2" w15:restartNumberingAfterBreak="0">
    <w:nsid w:val="C7CA5D96"/>
    <w:multiLevelType w:val="singleLevel"/>
    <w:tmpl w:val="C7CA5D96"/>
    <w:lvl w:ilvl="0">
      <w:start w:val="1"/>
      <w:numFmt w:val="decimal"/>
      <w:lvlText w:val="%1."/>
      <w:lvlJc w:val="left"/>
      <w:pPr>
        <w:ind w:left="425" w:hanging="425"/>
      </w:pPr>
      <w:rPr>
        <w:rFonts w:hint="default"/>
      </w:rPr>
    </w:lvl>
  </w:abstractNum>
  <w:abstractNum w:abstractNumId="3" w15:restartNumberingAfterBreak="0">
    <w:nsid w:val="1142C29C"/>
    <w:multiLevelType w:val="singleLevel"/>
    <w:tmpl w:val="1142C29C"/>
    <w:lvl w:ilvl="0">
      <w:start w:val="1"/>
      <w:numFmt w:val="decimal"/>
      <w:lvlText w:val="%1."/>
      <w:lvlJc w:val="left"/>
      <w:pPr>
        <w:ind w:left="425" w:hanging="425"/>
      </w:pPr>
      <w:rPr>
        <w:rFonts w:hint="default"/>
      </w:rPr>
    </w:lvl>
  </w:abstractNum>
  <w:abstractNum w:abstractNumId="4" w15:restartNumberingAfterBreak="0">
    <w:nsid w:val="6377F6FD"/>
    <w:multiLevelType w:val="singleLevel"/>
    <w:tmpl w:val="6377F6FD"/>
    <w:lvl w:ilvl="0">
      <w:start w:val="1"/>
      <w:numFmt w:val="decimal"/>
      <w:lvlText w:val="%1."/>
      <w:lvlJc w:val="left"/>
      <w:pPr>
        <w:ind w:left="425" w:hanging="425"/>
      </w:pPr>
      <w:rPr>
        <w:rFonts w:hint="default"/>
      </w:rPr>
    </w:lvl>
  </w:abstractNum>
  <w:num w:numId="1" w16cid:durableId="1594246740">
    <w:abstractNumId w:val="0"/>
  </w:num>
  <w:num w:numId="2" w16cid:durableId="2005088832">
    <w:abstractNumId w:val="2"/>
  </w:num>
  <w:num w:numId="3" w16cid:durableId="1515847687">
    <w:abstractNumId w:val="4"/>
  </w:num>
  <w:num w:numId="4" w16cid:durableId="1288580586">
    <w:abstractNumId w:val="1"/>
  </w:num>
  <w:num w:numId="5" w16cid:durableId="1276404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Y1ZDI0Yzk3MDhhODViNzY2ZjdkZGNlYjYwMzNhODkifQ=="/>
  </w:docVars>
  <w:rsids>
    <w:rsidRoot w:val="00101800"/>
    <w:rsid w:val="BD6BEC60"/>
    <w:rsid w:val="BFB5363C"/>
    <w:rsid w:val="BFEFD430"/>
    <w:rsid w:val="BFF2F9C7"/>
    <w:rsid w:val="CF3FA038"/>
    <w:rsid w:val="CFDFDCA1"/>
    <w:rsid w:val="D2370529"/>
    <w:rsid w:val="D2FE5704"/>
    <w:rsid w:val="D3EF398E"/>
    <w:rsid w:val="D7335291"/>
    <w:rsid w:val="DA7FC2C0"/>
    <w:rsid w:val="DD9D5E96"/>
    <w:rsid w:val="DDFB97C4"/>
    <w:rsid w:val="DDFDF66A"/>
    <w:rsid w:val="DFB02A57"/>
    <w:rsid w:val="DFBF5A00"/>
    <w:rsid w:val="E6FFAEA5"/>
    <w:rsid w:val="E7FAA496"/>
    <w:rsid w:val="EAF94C89"/>
    <w:rsid w:val="ECF9DABD"/>
    <w:rsid w:val="EEAE03B3"/>
    <w:rsid w:val="EF5976DE"/>
    <w:rsid w:val="EF5D2D24"/>
    <w:rsid w:val="EF9F047A"/>
    <w:rsid w:val="EFBE9988"/>
    <w:rsid w:val="EFC75DDF"/>
    <w:rsid w:val="EFD9EF64"/>
    <w:rsid w:val="EFFFBA7F"/>
    <w:rsid w:val="F0FFE8FB"/>
    <w:rsid w:val="F7754E2D"/>
    <w:rsid w:val="F77B9904"/>
    <w:rsid w:val="F77D02D4"/>
    <w:rsid w:val="F79BF01C"/>
    <w:rsid w:val="F9B7E1A3"/>
    <w:rsid w:val="F9DA6C7E"/>
    <w:rsid w:val="FB3BF7B1"/>
    <w:rsid w:val="FBBF5418"/>
    <w:rsid w:val="FBD767D8"/>
    <w:rsid w:val="FBE7FE4D"/>
    <w:rsid w:val="FCFF28BD"/>
    <w:rsid w:val="FD5F7EE9"/>
    <w:rsid w:val="FD8BAEBC"/>
    <w:rsid w:val="FDBFC1BF"/>
    <w:rsid w:val="FDD97CBF"/>
    <w:rsid w:val="FDDF80CF"/>
    <w:rsid w:val="FE9DB74C"/>
    <w:rsid w:val="FF2F8294"/>
    <w:rsid w:val="FFA610BF"/>
    <w:rsid w:val="FFB5FD0A"/>
    <w:rsid w:val="FFB7B67C"/>
    <w:rsid w:val="FFDF80E7"/>
    <w:rsid w:val="FFF3F06A"/>
    <w:rsid w:val="FFFF6817"/>
    <w:rsid w:val="00012398"/>
    <w:rsid w:val="000461C6"/>
    <w:rsid w:val="000F007E"/>
    <w:rsid w:val="000F5DFE"/>
    <w:rsid w:val="00101800"/>
    <w:rsid w:val="00197FDF"/>
    <w:rsid w:val="001B2FD2"/>
    <w:rsid w:val="001B44AE"/>
    <w:rsid w:val="001D55C3"/>
    <w:rsid w:val="001F529C"/>
    <w:rsid w:val="0022082E"/>
    <w:rsid w:val="00367552"/>
    <w:rsid w:val="00401414"/>
    <w:rsid w:val="00411B62"/>
    <w:rsid w:val="004379BE"/>
    <w:rsid w:val="004A5223"/>
    <w:rsid w:val="00505750"/>
    <w:rsid w:val="00525BB2"/>
    <w:rsid w:val="00593AB3"/>
    <w:rsid w:val="005B623A"/>
    <w:rsid w:val="005F4378"/>
    <w:rsid w:val="00681FC6"/>
    <w:rsid w:val="006D6119"/>
    <w:rsid w:val="006E028A"/>
    <w:rsid w:val="006F7501"/>
    <w:rsid w:val="00783B91"/>
    <w:rsid w:val="007958F3"/>
    <w:rsid w:val="007B56EF"/>
    <w:rsid w:val="00926705"/>
    <w:rsid w:val="00982E9B"/>
    <w:rsid w:val="00997D30"/>
    <w:rsid w:val="009B32FB"/>
    <w:rsid w:val="00A65359"/>
    <w:rsid w:val="00AF4DFB"/>
    <w:rsid w:val="00AF4EFA"/>
    <w:rsid w:val="00B2641C"/>
    <w:rsid w:val="00B55778"/>
    <w:rsid w:val="00BC3F20"/>
    <w:rsid w:val="00BC525C"/>
    <w:rsid w:val="00C33774"/>
    <w:rsid w:val="00C556B8"/>
    <w:rsid w:val="00D66DA1"/>
    <w:rsid w:val="00D73C8E"/>
    <w:rsid w:val="00D90068"/>
    <w:rsid w:val="00E33435"/>
    <w:rsid w:val="00E673D4"/>
    <w:rsid w:val="00E92820"/>
    <w:rsid w:val="00F00F72"/>
    <w:rsid w:val="00F16C4A"/>
    <w:rsid w:val="00F7223D"/>
    <w:rsid w:val="00FC5BBF"/>
    <w:rsid w:val="00FF3292"/>
    <w:rsid w:val="039D4E94"/>
    <w:rsid w:val="04C501F2"/>
    <w:rsid w:val="06B7037D"/>
    <w:rsid w:val="08E7715F"/>
    <w:rsid w:val="098F7F23"/>
    <w:rsid w:val="0B084722"/>
    <w:rsid w:val="0B6901B2"/>
    <w:rsid w:val="0EFC7E37"/>
    <w:rsid w:val="0FE130FE"/>
    <w:rsid w:val="10915C86"/>
    <w:rsid w:val="11E753B5"/>
    <w:rsid w:val="12A442E2"/>
    <w:rsid w:val="17182120"/>
    <w:rsid w:val="191A0E8B"/>
    <w:rsid w:val="19CE2289"/>
    <w:rsid w:val="1CA35FA7"/>
    <w:rsid w:val="1DF7D814"/>
    <w:rsid w:val="1F87A94D"/>
    <w:rsid w:val="1FC16504"/>
    <w:rsid w:val="1FD16BEC"/>
    <w:rsid w:val="1FF7C8CD"/>
    <w:rsid w:val="25733F7D"/>
    <w:rsid w:val="27A9199E"/>
    <w:rsid w:val="28FFC472"/>
    <w:rsid w:val="296D9637"/>
    <w:rsid w:val="29B277F5"/>
    <w:rsid w:val="2E181078"/>
    <w:rsid w:val="2E241639"/>
    <w:rsid w:val="2E72309F"/>
    <w:rsid w:val="310017F0"/>
    <w:rsid w:val="33162750"/>
    <w:rsid w:val="33596D28"/>
    <w:rsid w:val="34133087"/>
    <w:rsid w:val="34243726"/>
    <w:rsid w:val="34E07927"/>
    <w:rsid w:val="34FABDF1"/>
    <w:rsid w:val="357D72CF"/>
    <w:rsid w:val="37FBF21C"/>
    <w:rsid w:val="399F5A07"/>
    <w:rsid w:val="3B67A5BD"/>
    <w:rsid w:val="3B764B47"/>
    <w:rsid w:val="3B7FCA99"/>
    <w:rsid w:val="3BFA3A53"/>
    <w:rsid w:val="3C8C031E"/>
    <w:rsid w:val="3CB20F63"/>
    <w:rsid w:val="3D356193"/>
    <w:rsid w:val="3D5A773C"/>
    <w:rsid w:val="3EED1D62"/>
    <w:rsid w:val="3F571BAD"/>
    <w:rsid w:val="3FFB9024"/>
    <w:rsid w:val="3FFE21D5"/>
    <w:rsid w:val="40B97058"/>
    <w:rsid w:val="40E5695F"/>
    <w:rsid w:val="41640DC0"/>
    <w:rsid w:val="42D31E11"/>
    <w:rsid w:val="43D469E3"/>
    <w:rsid w:val="46C324AB"/>
    <w:rsid w:val="472B1107"/>
    <w:rsid w:val="477111CB"/>
    <w:rsid w:val="47D3124A"/>
    <w:rsid w:val="47EF0575"/>
    <w:rsid w:val="4A0D5D1E"/>
    <w:rsid w:val="4F3314A8"/>
    <w:rsid w:val="4F6A71DB"/>
    <w:rsid w:val="4F9A62A6"/>
    <w:rsid w:val="4FB37368"/>
    <w:rsid w:val="54CE0C07"/>
    <w:rsid w:val="5544144A"/>
    <w:rsid w:val="5AFFA0F0"/>
    <w:rsid w:val="5B84579D"/>
    <w:rsid w:val="5BBB029E"/>
    <w:rsid w:val="5C56134D"/>
    <w:rsid w:val="5CEF2310"/>
    <w:rsid w:val="5CF60894"/>
    <w:rsid w:val="5E6F1717"/>
    <w:rsid w:val="5EDF7E34"/>
    <w:rsid w:val="5F100333"/>
    <w:rsid w:val="5F57B9B2"/>
    <w:rsid w:val="5FB7E8F9"/>
    <w:rsid w:val="5FBFC662"/>
    <w:rsid w:val="5FEE00A5"/>
    <w:rsid w:val="5FFDFBEC"/>
    <w:rsid w:val="609F57F8"/>
    <w:rsid w:val="63FA3757"/>
    <w:rsid w:val="64352FB9"/>
    <w:rsid w:val="66326593"/>
    <w:rsid w:val="6659611C"/>
    <w:rsid w:val="66EF5D2C"/>
    <w:rsid w:val="67727432"/>
    <w:rsid w:val="68900A64"/>
    <w:rsid w:val="6BBD55C5"/>
    <w:rsid w:val="6BFC3719"/>
    <w:rsid w:val="6C20148A"/>
    <w:rsid w:val="6CDF30F3"/>
    <w:rsid w:val="6E963C85"/>
    <w:rsid w:val="6EFD3CC8"/>
    <w:rsid w:val="6FE729B2"/>
    <w:rsid w:val="6FF9E959"/>
    <w:rsid w:val="6FFD5D4D"/>
    <w:rsid w:val="6FFF0F19"/>
    <w:rsid w:val="70302301"/>
    <w:rsid w:val="71045A16"/>
    <w:rsid w:val="7187A9A0"/>
    <w:rsid w:val="7279B377"/>
    <w:rsid w:val="72F0186B"/>
    <w:rsid w:val="73253E5B"/>
    <w:rsid w:val="73960776"/>
    <w:rsid w:val="73BF827F"/>
    <w:rsid w:val="73F5F6AD"/>
    <w:rsid w:val="74EBEAE1"/>
    <w:rsid w:val="74F2665A"/>
    <w:rsid w:val="757E3409"/>
    <w:rsid w:val="75DD600D"/>
    <w:rsid w:val="75F5331C"/>
    <w:rsid w:val="77493F8A"/>
    <w:rsid w:val="77FB41BA"/>
    <w:rsid w:val="785E75C1"/>
    <w:rsid w:val="787B4072"/>
    <w:rsid w:val="797F23F6"/>
    <w:rsid w:val="7DDF2289"/>
    <w:rsid w:val="7DE38AD7"/>
    <w:rsid w:val="7DF7ECF6"/>
    <w:rsid w:val="7EB42631"/>
    <w:rsid w:val="7EB7FF42"/>
    <w:rsid w:val="7EBD59AC"/>
    <w:rsid w:val="7F1738FD"/>
    <w:rsid w:val="7F5F62F7"/>
    <w:rsid w:val="7F657DCB"/>
    <w:rsid w:val="7F7E5FCF"/>
    <w:rsid w:val="7FB61CD9"/>
    <w:rsid w:val="7FFF41DD"/>
    <w:rsid w:val="AD6E5151"/>
    <w:rsid w:val="AFDD42DC"/>
    <w:rsid w:val="B3FB6270"/>
    <w:rsid w:val="BAF5A487"/>
    <w:rsid w:val="BB6FC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E6A5DE"/>
  <w15:docId w15:val="{F3DCC9E4-D4FF-44EE-9597-ABA1EE0DD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Signature" w:qFormat="1"/>
    <w:lsdException w:name="Default Paragraph Font" w:semiHidden="1" w:qFormat="1"/>
    <w:lsdException w:name="Body Text" w:qFormat="1"/>
    <w:lsdException w:name="Subtitle" w:qFormat="1"/>
    <w:lsdException w:name="Salutation" w:qFormat="1"/>
    <w:lsdException w:name="Dat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20" w:after="20" w:line="288" w:lineRule="auto"/>
      <w:jc w:val="both"/>
    </w:pPr>
    <w:rPr>
      <w:rFonts w:asciiTheme="minorHAnsi" w:eastAsiaTheme="minorEastAsia" w:hAnsiTheme="minorHAnsi" w:cstheme="minorBidi"/>
      <w:kern w:val="2"/>
      <w:sz w:val="24"/>
      <w:szCs w:val="24"/>
    </w:rPr>
  </w:style>
  <w:style w:type="paragraph" w:styleId="1">
    <w:name w:val="heading 1"/>
    <w:basedOn w:val="a0"/>
    <w:next w:val="a"/>
    <w:qFormat/>
    <w:pPr>
      <w:keepNext/>
      <w:keepLines/>
      <w:numPr>
        <w:numId w:val="1"/>
      </w:numPr>
      <w:spacing w:line="360" w:lineRule="auto"/>
    </w:pPr>
    <w:rPr>
      <w:rFonts w:eastAsia="黑体"/>
      <w:kern w:val="44"/>
      <w:sz w:val="30"/>
      <w:szCs w:val="36"/>
    </w:rPr>
  </w:style>
  <w:style w:type="paragraph" w:styleId="2">
    <w:name w:val="heading 2"/>
    <w:basedOn w:val="a"/>
    <w:next w:val="a"/>
    <w:unhideWhenUsed/>
    <w:qFormat/>
    <w:pPr>
      <w:keepNext/>
      <w:keepLines/>
      <w:spacing w:line="360" w:lineRule="auto"/>
      <w:outlineLvl w:val="1"/>
    </w:pPr>
    <w:rPr>
      <w:rFonts w:eastAsia="黑体"/>
      <w:b/>
      <w:bCs/>
      <w:sz w:val="28"/>
      <w:szCs w:val="32"/>
    </w:rPr>
  </w:style>
  <w:style w:type="paragraph" w:styleId="3">
    <w:name w:val="heading 3"/>
    <w:basedOn w:val="a"/>
    <w:next w:val="a"/>
    <w:unhideWhenUsed/>
    <w:qFormat/>
    <w:pPr>
      <w:keepNext/>
      <w:keepLines/>
      <w:spacing w:line="360" w:lineRule="auto"/>
      <w:outlineLvl w:val="2"/>
    </w:pPr>
    <w:rPr>
      <w:rFonts w:eastAsia="黑体"/>
      <w:bCs/>
      <w:sz w:val="28"/>
      <w:szCs w:val="30"/>
    </w:rPr>
  </w:style>
  <w:style w:type="paragraph" w:styleId="4">
    <w:name w:val="heading 4"/>
    <w:basedOn w:val="a"/>
    <w:next w:val="a"/>
    <w:unhideWhenUsed/>
    <w:qFormat/>
    <w:pPr>
      <w:keepNext/>
      <w:keepLines/>
      <w:spacing w:beforeLines="120" w:before="120" w:afterLines="80" w:after="80"/>
      <w:outlineLvl w:val="3"/>
    </w:pPr>
    <w:rPr>
      <w:b/>
      <w:bCs/>
      <w:sz w:val="28"/>
      <w:szCs w:val="28"/>
    </w:rPr>
  </w:style>
  <w:style w:type="paragraph" w:styleId="5">
    <w:name w:val="heading 5"/>
    <w:basedOn w:val="a"/>
    <w:next w:val="a1"/>
    <w:unhideWhenUsed/>
    <w:qFormat/>
    <w:pPr>
      <w:keepNext/>
      <w:keepLines/>
      <w:spacing w:beforeLines="120" w:before="120" w:afterLines="80" w:after="80"/>
      <w:outlineLvl w:val="4"/>
    </w:pPr>
    <w:rPr>
      <w:b/>
      <w:bCs/>
    </w:rPr>
  </w:style>
  <w:style w:type="paragraph" w:styleId="6">
    <w:name w:val="heading 6"/>
    <w:basedOn w:val="a"/>
    <w:next w:val="a1"/>
    <w:unhideWhenUsed/>
    <w:qFormat/>
    <w:pPr>
      <w:keepNext/>
      <w:keepLines/>
      <w:spacing w:beforeLines="120" w:before="120" w:afterLines="80" w:after="80"/>
      <w:outlineLvl w:val="5"/>
    </w:pPr>
    <w:rPr>
      <w:b/>
      <w:bCs/>
    </w:rPr>
  </w:style>
  <w:style w:type="paragraph" w:styleId="7">
    <w:name w:val="heading 7"/>
    <w:basedOn w:val="a"/>
    <w:next w:val="a1"/>
    <w:unhideWhenUsed/>
    <w:qFormat/>
    <w:pPr>
      <w:keepNext/>
      <w:keepLines/>
      <w:spacing w:beforeLines="120" w:before="120" w:afterLines="80" w:after="80"/>
      <w:outlineLvl w:val="6"/>
    </w:pPr>
    <w:rPr>
      <w:b/>
      <w:bCs/>
    </w:rPr>
  </w:style>
  <w:style w:type="paragraph" w:styleId="8">
    <w:name w:val="heading 8"/>
    <w:basedOn w:val="a"/>
    <w:next w:val="a1"/>
    <w:unhideWhenUsed/>
    <w:qFormat/>
    <w:pPr>
      <w:keepNext/>
      <w:keepLines/>
      <w:spacing w:beforeLines="120" w:before="120" w:afterLines="80" w:after="80"/>
      <w:outlineLvl w:val="7"/>
    </w:pPr>
    <w:rPr>
      <w:b/>
      <w:bCs/>
    </w:rPr>
  </w:style>
  <w:style w:type="paragraph" w:styleId="9">
    <w:name w:val="heading 9"/>
    <w:basedOn w:val="a"/>
    <w:next w:val="a1"/>
    <w:unhideWhenUsed/>
    <w:qFormat/>
    <w:pPr>
      <w:keepNext/>
      <w:keepLines/>
      <w:spacing w:beforeLines="120" w:before="120" w:afterLines="80" w:after="80"/>
      <w:outlineLvl w:val="8"/>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qFormat/>
    <w:pPr>
      <w:spacing w:afterLines="100" w:after="100"/>
      <w:jc w:val="center"/>
      <w:outlineLvl w:val="0"/>
    </w:pPr>
    <w:rPr>
      <w:rFonts w:asciiTheme="majorHAnsi" w:eastAsiaTheme="majorEastAsia" w:hAnsiTheme="majorHAnsi"/>
      <w:b/>
      <w:bCs/>
      <w:sz w:val="44"/>
      <w:szCs w:val="44"/>
    </w:rPr>
  </w:style>
  <w:style w:type="paragraph" w:styleId="a1">
    <w:name w:val="Body Text"/>
    <w:basedOn w:val="a"/>
    <w:qFormat/>
    <w:pPr>
      <w:spacing w:afterLines="0" w:after="120"/>
    </w:pPr>
  </w:style>
  <w:style w:type="paragraph" w:styleId="a5">
    <w:name w:val="caption"/>
    <w:basedOn w:val="a"/>
    <w:next w:val="a"/>
    <w:unhideWhenUsed/>
    <w:qFormat/>
    <w:rPr>
      <w:rFonts w:cs="Times New Roman"/>
    </w:rPr>
  </w:style>
  <w:style w:type="paragraph" w:styleId="a6">
    <w:name w:val="annotation text"/>
    <w:basedOn w:val="a"/>
    <w:qFormat/>
    <w:pPr>
      <w:jc w:val="left"/>
    </w:pPr>
    <w:rPr>
      <w:color w:val="262626" w:themeColor="text1" w:themeTint="D9"/>
    </w:rPr>
  </w:style>
  <w:style w:type="paragraph" w:styleId="a7">
    <w:name w:val="Salutation"/>
    <w:basedOn w:val="a"/>
    <w:next w:val="a"/>
    <w:qFormat/>
  </w:style>
  <w:style w:type="paragraph" w:styleId="a8">
    <w:name w:val="Block Text"/>
    <w:basedOn w:val="a"/>
    <w:pPr>
      <w:spacing w:afterLines="0" w:after="120"/>
      <w:ind w:leftChars="700" w:left="1440" w:rightChars="700" w:right="700"/>
    </w:pPr>
  </w:style>
  <w:style w:type="paragraph" w:styleId="TOC3">
    <w:name w:val="toc 3"/>
    <w:basedOn w:val="a"/>
    <w:next w:val="a"/>
    <w:qFormat/>
    <w:pPr>
      <w:ind w:leftChars="400" w:left="840"/>
    </w:pPr>
  </w:style>
  <w:style w:type="paragraph" w:styleId="a9">
    <w:name w:val="Date"/>
    <w:basedOn w:val="a"/>
    <w:next w:val="a"/>
    <w:qFormat/>
    <w:pPr>
      <w:jc w:val="right"/>
    </w:pPr>
    <w:rPr>
      <w:color w:val="262626" w:themeColor="text1" w:themeTint="D9"/>
    </w:rPr>
  </w:style>
  <w:style w:type="paragraph" w:styleId="aa">
    <w:name w:val="endnote text"/>
    <w:basedOn w:val="a"/>
    <w:qFormat/>
    <w:pPr>
      <w:jc w:val="left"/>
    </w:pPr>
    <w:rPr>
      <w:color w:val="262626" w:themeColor="text1" w:themeTint="D9"/>
    </w:rPr>
  </w:style>
  <w:style w:type="paragraph" w:styleId="ab">
    <w:name w:val="Balloon Text"/>
    <w:basedOn w:val="a"/>
    <w:qFormat/>
    <w:rPr>
      <w:sz w:val="18"/>
      <w:szCs w:val="18"/>
    </w:rPr>
  </w:style>
  <w:style w:type="paragraph" w:styleId="ac">
    <w:name w:val="footer"/>
    <w:basedOn w:val="a"/>
    <w:link w:val="ad"/>
    <w:qFormat/>
    <w:pPr>
      <w:tabs>
        <w:tab w:val="center" w:pos="4153"/>
        <w:tab w:val="right" w:pos="8306"/>
      </w:tabs>
      <w:jc w:val="left"/>
    </w:pPr>
    <w:rPr>
      <w:sz w:val="18"/>
      <w:szCs w:val="18"/>
    </w:rPr>
  </w:style>
  <w:style w:type="paragraph" w:styleId="ae">
    <w:name w:val="header"/>
    <w:basedOn w:val="a"/>
    <w:link w:val="af"/>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szCs w:val="18"/>
    </w:rPr>
  </w:style>
  <w:style w:type="paragraph" w:styleId="af0">
    <w:name w:val="Signature"/>
    <w:basedOn w:val="a"/>
    <w:qFormat/>
    <w:pPr>
      <w:jc w:val="right"/>
    </w:pPr>
    <w:rPr>
      <w:color w:val="262626" w:themeColor="text1" w:themeTint="D9"/>
    </w:rPr>
  </w:style>
  <w:style w:type="paragraph" w:styleId="TOC1">
    <w:name w:val="toc 1"/>
    <w:basedOn w:val="a"/>
    <w:next w:val="a"/>
    <w:qFormat/>
  </w:style>
  <w:style w:type="paragraph" w:styleId="af1">
    <w:name w:val="Subtitle"/>
    <w:basedOn w:val="a"/>
    <w:next w:val="a1"/>
    <w:qFormat/>
    <w:pPr>
      <w:spacing w:before="240" w:afterLines="0" w:after="60" w:line="312" w:lineRule="auto"/>
      <w:jc w:val="center"/>
      <w:outlineLvl w:val="1"/>
    </w:pPr>
    <w:rPr>
      <w:rFonts w:asciiTheme="majorHAnsi" w:eastAsiaTheme="majorEastAsia" w:hAnsiTheme="majorHAnsi"/>
      <w:b/>
      <w:kern w:val="28"/>
      <w:sz w:val="32"/>
      <w:szCs w:val="32"/>
    </w:rPr>
  </w:style>
  <w:style w:type="paragraph" w:styleId="af2">
    <w:name w:val="footnote text"/>
    <w:basedOn w:val="a"/>
    <w:qFormat/>
    <w:pPr>
      <w:jc w:val="left"/>
    </w:pPr>
  </w:style>
  <w:style w:type="paragraph" w:styleId="TOC2">
    <w:name w:val="toc 2"/>
    <w:basedOn w:val="a"/>
    <w:next w:val="a"/>
    <w:qFormat/>
    <w:pPr>
      <w:ind w:leftChars="200" w:left="420"/>
    </w:pPr>
  </w:style>
  <w:style w:type="paragraph" w:styleId="HTML">
    <w:name w:val="HTML Preformatted"/>
    <w:basedOn w:val="a"/>
    <w:qFormat/>
    <w:rPr>
      <w:rFonts w:ascii="Courier New" w:hAnsi="Courier New"/>
      <w:sz w:val="20"/>
    </w:rPr>
  </w:style>
  <w:style w:type="paragraph" w:styleId="af3">
    <w:name w:val="Normal (Web)"/>
    <w:basedOn w:val="a"/>
    <w:qFormat/>
  </w:style>
  <w:style w:type="paragraph" w:styleId="af4">
    <w:name w:val="annotation subject"/>
    <w:basedOn w:val="a6"/>
    <w:next w:val="a6"/>
    <w:qFormat/>
    <w:rPr>
      <w:b/>
      <w:color w:val="262626" w:themeColor="text1" w:themeTint="D9"/>
    </w:rPr>
  </w:style>
  <w:style w:type="table" w:styleId="af5">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2"/>
    <w:qFormat/>
    <w:rPr>
      <w:rFonts w:asciiTheme="minorHAnsi" w:eastAsiaTheme="minorEastAsia" w:hAnsiTheme="minorHAnsi"/>
      <w:b/>
    </w:rPr>
  </w:style>
  <w:style w:type="character" w:styleId="af7">
    <w:name w:val="endnote reference"/>
    <w:basedOn w:val="a2"/>
    <w:qFormat/>
    <w:rPr>
      <w:rFonts w:asciiTheme="minorHAnsi" w:eastAsiaTheme="minorEastAsia" w:hAnsiTheme="minorHAnsi"/>
      <w:color w:val="262626" w:themeColor="text1" w:themeTint="D9"/>
      <w:vertAlign w:val="superscript"/>
    </w:rPr>
  </w:style>
  <w:style w:type="character" w:styleId="af8">
    <w:name w:val="page number"/>
    <w:qFormat/>
    <w:rPr>
      <w:rFonts w:asciiTheme="minorHAnsi" w:eastAsiaTheme="minorEastAsia" w:hAnsiTheme="minorHAnsi" w:cs="Times New Roman"/>
      <w:color w:val="262626" w:themeColor="text1" w:themeTint="D9"/>
      <w:spacing w:val="-6"/>
      <w:kern w:val="2"/>
      <w:sz w:val="28"/>
      <w:szCs w:val="28"/>
      <w:lang w:val="en-US" w:eastAsia="zh-CN" w:bidi="ar-SA"/>
    </w:rPr>
  </w:style>
  <w:style w:type="character" w:styleId="af9">
    <w:name w:val="FollowedHyperlink"/>
    <w:basedOn w:val="a2"/>
    <w:qFormat/>
    <w:rPr>
      <w:rFonts w:asciiTheme="minorHAnsi" w:eastAsiaTheme="minorEastAsia" w:hAnsiTheme="minorHAnsi" w:cs="Times New Roman"/>
      <w:color w:val="800080"/>
      <w:spacing w:val="-6"/>
      <w:kern w:val="2"/>
      <w:sz w:val="24"/>
      <w:szCs w:val="24"/>
      <w:u w:val="single"/>
      <w:lang w:val="en-US" w:eastAsia="zh-CN" w:bidi="ar-SA"/>
    </w:rPr>
  </w:style>
  <w:style w:type="character" w:styleId="afa">
    <w:name w:val="Emphasis"/>
    <w:basedOn w:val="a2"/>
    <w:qFormat/>
    <w:rPr>
      <w:i/>
    </w:rPr>
  </w:style>
  <w:style w:type="character" w:styleId="afb">
    <w:name w:val="Hyperlink"/>
    <w:basedOn w:val="a2"/>
    <w:qFormat/>
    <w:rPr>
      <w:rFonts w:asciiTheme="minorHAnsi" w:eastAsiaTheme="minorEastAsia" w:hAnsiTheme="minorHAnsi" w:cs="Times New Roman"/>
      <w:caps/>
      <w:color w:val="0000FF"/>
      <w:spacing w:val="-6"/>
      <w:kern w:val="2"/>
      <w:sz w:val="24"/>
      <w:szCs w:val="24"/>
      <w:u w:val="single"/>
      <w:lang w:val="en-US" w:eastAsia="zh-CN" w:bidi="ar-SA"/>
    </w:rPr>
  </w:style>
  <w:style w:type="character" w:styleId="afc">
    <w:name w:val="annotation reference"/>
    <w:basedOn w:val="a2"/>
    <w:qFormat/>
    <w:rPr>
      <w:rFonts w:asciiTheme="minorHAnsi" w:eastAsiaTheme="minorEastAsia" w:hAnsiTheme="minorHAnsi"/>
      <w:color w:val="262626" w:themeColor="text1" w:themeTint="D9"/>
      <w:sz w:val="21"/>
      <w:szCs w:val="21"/>
    </w:rPr>
  </w:style>
  <w:style w:type="character" w:styleId="afd">
    <w:name w:val="footnote reference"/>
    <w:basedOn w:val="a2"/>
    <w:qFormat/>
    <w:rPr>
      <w:rFonts w:asciiTheme="minorHAnsi" w:eastAsiaTheme="minorEastAsia" w:hAnsiTheme="minorHAnsi"/>
      <w:color w:val="262626" w:themeColor="text1" w:themeTint="D9"/>
      <w:vertAlign w:val="superscript"/>
    </w:rPr>
  </w:style>
  <w:style w:type="character" w:customStyle="1" w:styleId="ad">
    <w:name w:val="页脚 字符"/>
    <w:link w:val="ac"/>
    <w:qFormat/>
    <w:rPr>
      <w:sz w:val="18"/>
      <w:szCs w:val="18"/>
    </w:rPr>
  </w:style>
  <w:style w:type="character" w:customStyle="1" w:styleId="af">
    <w:name w:val="页眉 字符"/>
    <w:link w:val="ae"/>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YY_Practice/%E8%AF%BE%E7%A8%8B%E8%AE%BA%E6%96%87%EF%BC%88%E6%88%96%E6%8F%90%E4%BE%9B%E5%AE%9E%E9%99%85%E9%93%BE%E6%8E%A5%EF%BC%89%E3%80%8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27</Pages>
  <Words>2141</Words>
  <Characters>12208</Characters>
  <Application>Microsoft Office Word</Application>
  <DocSecurity>0</DocSecurity>
  <Lines>101</Lines>
  <Paragraphs>28</Paragraphs>
  <ScaleCrop>false</ScaleCrop>
  <Company>微软公司</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微软用户</dc:creator>
  <cp:lastModifiedBy>阳 姚</cp:lastModifiedBy>
  <cp:revision>11</cp:revision>
  <cp:lastPrinted>2016-09-23T09:11:00Z</cp:lastPrinted>
  <dcterms:created xsi:type="dcterms:W3CDTF">2016-09-19T08:58:00Z</dcterms:created>
  <dcterms:modified xsi:type="dcterms:W3CDTF">2025-11-19T13:05:00Z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09E836EBD67842D78E0D4FF3062634A3_13</vt:lpwstr>
  </property>
  <property fmtid="{D5CDD505-2E9C-101B-9397-08002B2CF9AE}" pid="4" name="KSOTemplateDocerSaveRecord">
    <vt:lpwstr>eyJoZGlkIjoiNDE2M2Y0MTc2NWVkMjNlYmVmOGVlZTkyNmExNDU2YmYiLCJ1c2VySWQiOiI0MTM4ODYyMDIifQ==</vt:lpwstr>
  </property>
</Properties>
</file>