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59604" w14:textId="6472DE1E" w:rsidR="006525C0" w:rsidRDefault="006525C0" w:rsidP="00AF1D2D">
      <w:pPr>
        <w:spacing w:line="480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6525C0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Appendix </w:t>
      </w:r>
      <w:r w:rsidR="005C5A34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I</w:t>
      </w:r>
    </w:p>
    <w:p w14:paraId="25C0063B" w14:textId="21B83513" w:rsidR="005C5A34" w:rsidRDefault="005C5A34" w:rsidP="00AF1D2D">
      <w:pPr>
        <w:spacing w:line="480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Do-File</w:t>
      </w:r>
    </w:p>
    <w:p w14:paraId="32D8CE81" w14:textId="77777777" w:rsidR="005C5A34" w:rsidRDefault="005C5A34" w:rsidP="00AF1D2D">
      <w:pPr>
        <w:spacing w:line="480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</w:p>
    <w:p w14:paraId="198BA72D" w14:textId="4CF8160D" w:rsidR="005C5A34" w:rsidRPr="006525C0" w:rsidRDefault="005C5A34" w:rsidP="00AF1D2D">
      <w:pPr>
        <w:spacing w:line="480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6525C0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Appendix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I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I</w:t>
      </w:r>
    </w:p>
    <w:p w14:paraId="02AAB304" w14:textId="69A24E9B" w:rsidR="006525C0" w:rsidRPr="006525C0" w:rsidRDefault="006525C0" w:rsidP="00AF1D2D">
      <w:pPr>
        <w:spacing w:line="480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6525C0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Extra Assumptions and Diagnostic Tests Required </w:t>
      </w:r>
      <w:proofErr w:type="gramStart"/>
      <w:r w:rsidRPr="006525C0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For</w:t>
      </w:r>
      <w:proofErr w:type="gramEnd"/>
      <w:r w:rsidRPr="006525C0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 Panel Analysis</w:t>
      </w:r>
    </w:p>
    <w:p w14:paraId="612C6BE8" w14:textId="4A719695" w:rsidR="00AF1D2D" w:rsidRPr="006525C0" w:rsidRDefault="006525C0" w:rsidP="00AF1D2D">
      <w:p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</w:pPr>
      <w:r w:rsidRPr="006525C0"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  <w:t xml:space="preserve">Test assumptions: </w:t>
      </w:r>
      <w:r w:rsidR="00AF1D2D" w:rsidRPr="006525C0"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  <w:t xml:space="preserve">Excessive Zeros (Zero-Inflated Consideration) </w:t>
      </w:r>
    </w:p>
    <w:p w14:paraId="00348CEF" w14:textId="77777777" w:rsidR="00AF1D2D" w:rsidRPr="00AB1633" w:rsidRDefault="00AF1D2D" w:rsidP="00AF1D2D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F3425">
        <w:rPr>
          <w:rFonts w:ascii="Times New Roman" w:eastAsiaTheme="minorEastAsia" w:hAnsi="Times New Roman" w:cs="Times New Roman"/>
          <w:sz w:val="24"/>
          <w:szCs w:val="24"/>
        </w:rPr>
        <w:t xml:space="preserve">From Figure 1 below, we note that the modal patent value is zero. In fact, zero makes up 1175 out of the total 5,136 patent values, representing about 22.88% of total values.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7"/>
      </w:tblGrid>
      <w:tr w:rsidR="00AF1D2D" w:rsidRPr="00EF3425" w14:paraId="1894F426" w14:textId="77777777" w:rsidTr="007600AB">
        <w:trPr>
          <w:trHeight w:val="3099"/>
          <w:jc w:val="center"/>
        </w:trPr>
        <w:tc>
          <w:tcPr>
            <w:tcW w:w="6817" w:type="dxa"/>
          </w:tcPr>
          <w:p w14:paraId="7B0F64A4" w14:textId="77777777" w:rsidR="00AF1D2D" w:rsidRPr="00EF3425" w:rsidRDefault="00AF1D2D" w:rsidP="007600A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342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C78F8BD" wp14:editId="47EB6B03">
                  <wp:extent cx="3834333" cy="2807407"/>
                  <wp:effectExtent l="0" t="0" r="0" b="0"/>
                  <wp:docPr id="4" name="Picture 4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9121" cy="28182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D2D" w:rsidRPr="00EF3425" w14:paraId="7D9F5808" w14:textId="77777777" w:rsidTr="007600AB">
        <w:trPr>
          <w:trHeight w:val="174"/>
          <w:jc w:val="center"/>
        </w:trPr>
        <w:tc>
          <w:tcPr>
            <w:tcW w:w="6817" w:type="dxa"/>
          </w:tcPr>
          <w:p w14:paraId="25670E61" w14:textId="77777777" w:rsidR="00AF1D2D" w:rsidRPr="00EF3425" w:rsidRDefault="00AF1D2D" w:rsidP="007600A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34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Figure 1</w:t>
            </w:r>
            <w:r w:rsidRPr="00EF342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EF342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Frequency of Patents Counts</w:t>
            </w:r>
          </w:p>
        </w:tc>
      </w:tr>
    </w:tbl>
    <w:p w14:paraId="65011EF8" w14:textId="77777777" w:rsidR="00AF1D2D" w:rsidRPr="00AB1633" w:rsidRDefault="00AF1D2D" w:rsidP="00AF1D2D">
      <w:pPr>
        <w:spacing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F3425">
        <w:rPr>
          <w:rFonts w:ascii="Times New Roman" w:eastAsiaTheme="minorEastAsia" w:hAnsi="Times New Roman" w:cs="Times New Roman"/>
          <w:sz w:val="24"/>
          <w:szCs w:val="24"/>
        </w:rPr>
        <w:t>The next diagnostic test involves examining whether there exist excess zeros in the dependent variable, warranting the consideration of zero-inflated models.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F342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EF3425">
        <w:rPr>
          <w:rFonts w:ascii="Times New Roman" w:hAnsi="Times New Roman" w:cs="Times New Roman"/>
          <w:sz w:val="24"/>
          <w:szCs w:val="24"/>
        </w:rPr>
        <w:t>Vuong</w:t>
      </w:r>
      <w:proofErr w:type="spellEnd"/>
      <w:r w:rsidRPr="00EF3425">
        <w:rPr>
          <w:rFonts w:ascii="Times New Roman" w:hAnsi="Times New Roman" w:cs="Times New Roman"/>
          <w:sz w:val="24"/>
          <w:szCs w:val="24"/>
        </w:rPr>
        <w:t xml:space="preserve"> test indicates preference for the zero-inflated Poisson over the regular Poisson model (</w:t>
      </w:r>
      <w:proofErr w:type="spellStart"/>
      <w:r w:rsidRPr="00EF3425">
        <w:rPr>
          <w:rFonts w:ascii="Times New Roman" w:hAnsi="Times New Roman" w:cs="Times New Roman"/>
          <w:sz w:val="24"/>
          <w:szCs w:val="24"/>
        </w:rPr>
        <w:t>Vuong</w:t>
      </w:r>
      <w:proofErr w:type="spellEnd"/>
      <w:r w:rsidRPr="00EF3425">
        <w:rPr>
          <w:rFonts w:ascii="Times New Roman" w:hAnsi="Times New Roman" w:cs="Times New Roman"/>
          <w:sz w:val="24"/>
          <w:szCs w:val="24"/>
        </w:rPr>
        <w:t xml:space="preserve"> = 10.452, p = 0.000) and </w:t>
      </w:r>
      <w:r w:rsidRPr="00EF3425">
        <w:rPr>
          <w:rFonts w:ascii="Times New Roman" w:hAnsi="Times New Roman" w:cs="Times New Roman"/>
          <w:sz w:val="24"/>
          <w:szCs w:val="24"/>
        </w:rPr>
        <w:lastRenderedPageBreak/>
        <w:t>indicates preference for the zero-inflated negative binomial model over the regular negative binomial model (</w:t>
      </w:r>
      <w:proofErr w:type="spellStart"/>
      <w:r w:rsidRPr="00EF3425">
        <w:rPr>
          <w:rFonts w:ascii="Times New Roman" w:hAnsi="Times New Roman" w:cs="Times New Roman"/>
          <w:sz w:val="24"/>
          <w:szCs w:val="24"/>
        </w:rPr>
        <w:t>Vuong</w:t>
      </w:r>
      <w:proofErr w:type="spellEnd"/>
      <w:r w:rsidRPr="00EF3425">
        <w:rPr>
          <w:rFonts w:ascii="Times New Roman" w:hAnsi="Times New Roman" w:cs="Times New Roman"/>
          <w:sz w:val="24"/>
          <w:szCs w:val="24"/>
        </w:rPr>
        <w:t xml:space="preserve"> = 2.866, p = 0.002). We however note that there have been considerable reservations on the use of the </w:t>
      </w:r>
      <w:proofErr w:type="spellStart"/>
      <w:r w:rsidRPr="00EF3425">
        <w:rPr>
          <w:rFonts w:ascii="Times New Roman" w:hAnsi="Times New Roman" w:cs="Times New Roman"/>
          <w:sz w:val="24"/>
          <w:szCs w:val="24"/>
        </w:rPr>
        <w:t>Vuong</w:t>
      </w:r>
      <w:proofErr w:type="spellEnd"/>
      <w:r w:rsidRPr="00EF3425">
        <w:rPr>
          <w:rFonts w:ascii="Times New Roman" w:hAnsi="Times New Roman" w:cs="Times New Roman"/>
          <w:sz w:val="24"/>
          <w:szCs w:val="24"/>
        </w:rPr>
        <w:t xml:space="preserve"> test.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7"/>
      </w:tblGrid>
      <w:tr w:rsidR="00AF1D2D" w:rsidRPr="00EF3425" w14:paraId="6DEAEF70" w14:textId="77777777" w:rsidTr="007600AB">
        <w:trPr>
          <w:trHeight w:val="4687"/>
          <w:jc w:val="center"/>
        </w:trPr>
        <w:tc>
          <w:tcPr>
            <w:tcW w:w="6817" w:type="dxa"/>
          </w:tcPr>
          <w:p w14:paraId="770DF7DE" w14:textId="77777777" w:rsidR="00AF1D2D" w:rsidRPr="00EF3425" w:rsidRDefault="00AF1D2D" w:rsidP="007600AB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34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D7531C6" wp14:editId="0403510D">
                  <wp:extent cx="2985961" cy="221577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9307" b="48620"/>
                          <a:stretch/>
                        </pic:blipFill>
                        <pic:spPr bwMode="auto">
                          <a:xfrm>
                            <a:off x="0" y="0"/>
                            <a:ext cx="2999945" cy="2226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D2D" w:rsidRPr="00EF3425" w14:paraId="71A4CB0E" w14:textId="77777777" w:rsidTr="007600AB">
        <w:trPr>
          <w:trHeight w:val="581"/>
          <w:jc w:val="center"/>
        </w:trPr>
        <w:tc>
          <w:tcPr>
            <w:tcW w:w="6817" w:type="dxa"/>
          </w:tcPr>
          <w:p w14:paraId="68F09C30" w14:textId="77777777" w:rsidR="00AF1D2D" w:rsidRPr="00EF3425" w:rsidRDefault="00AF1D2D" w:rsidP="007600AB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3425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Figure 2.</w:t>
            </w:r>
            <w:r w:rsidRPr="00EF34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DA2FCD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Quantile-Quantile Plot of Poisson and Zero-Inflated Poisson Models.</w:t>
            </w:r>
            <w:r w:rsidRPr="00EF34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A0ECE52" w14:textId="77777777" w:rsidR="00AF1D2D" w:rsidRPr="00EF3425" w:rsidRDefault="00AF1D2D" w:rsidP="00AF1D2D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6"/>
      </w:tblGrid>
      <w:tr w:rsidR="00AF1D2D" w:rsidRPr="00EF3425" w14:paraId="07D1BD43" w14:textId="77777777" w:rsidTr="007600AB">
        <w:trPr>
          <w:jc w:val="center"/>
        </w:trPr>
        <w:tc>
          <w:tcPr>
            <w:tcW w:w="6576" w:type="dxa"/>
          </w:tcPr>
          <w:p w14:paraId="050E11E9" w14:textId="77777777" w:rsidR="00AF1D2D" w:rsidRPr="00EF3425" w:rsidRDefault="00AF1D2D" w:rsidP="007600AB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34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E490437" wp14:editId="22337711">
                  <wp:extent cx="4283986" cy="3139440"/>
                  <wp:effectExtent l="0" t="0" r="2540" b="3810"/>
                  <wp:docPr id="7" name="Picture 7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hart, lin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1989" cy="31453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D2D" w:rsidRPr="00EF3425" w14:paraId="52C16571" w14:textId="77777777" w:rsidTr="007600AB">
        <w:trPr>
          <w:jc w:val="center"/>
        </w:trPr>
        <w:tc>
          <w:tcPr>
            <w:tcW w:w="6576" w:type="dxa"/>
          </w:tcPr>
          <w:p w14:paraId="14566DDD" w14:textId="77777777" w:rsidR="00AF1D2D" w:rsidRPr="00EF3425" w:rsidRDefault="00AF1D2D" w:rsidP="007600AB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3425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Figure 3.</w:t>
            </w:r>
            <w:r w:rsidRPr="00EF34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DA2FCD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Quantile-Quantile Plot of Negative Binomial and Zero-Inflated Negative Binomial Models.</w:t>
            </w:r>
          </w:p>
        </w:tc>
      </w:tr>
    </w:tbl>
    <w:p w14:paraId="605D75B1" w14:textId="77777777" w:rsidR="00AF1D2D" w:rsidRPr="00AE0D67" w:rsidRDefault="00AF1D2D" w:rsidP="00AF1D2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3425">
        <w:rPr>
          <w:rFonts w:ascii="Times New Roman" w:hAnsi="Times New Roman" w:cs="Times New Roman"/>
          <w:sz w:val="24"/>
          <w:szCs w:val="24"/>
        </w:rPr>
        <w:t>We explore the graphical examination procedure by Wilson (</w:t>
      </w:r>
      <w:r>
        <w:rPr>
          <w:rFonts w:ascii="Times New Roman" w:hAnsi="Times New Roman" w:cs="Times New Roman"/>
          <w:sz w:val="24"/>
          <w:szCs w:val="24"/>
        </w:rPr>
        <w:t>2015</w:t>
      </w:r>
      <w:r w:rsidRPr="00EF3425">
        <w:rPr>
          <w:rFonts w:ascii="Times New Roman" w:hAnsi="Times New Roman" w:cs="Times New Roman"/>
          <w:sz w:val="24"/>
          <w:szCs w:val="24"/>
        </w:rPr>
        <w:t>) where QQ-plot of the fitted probabilities of data under zero-inflated and non-zero inflated points are ex</w:t>
      </w:r>
      <w:r>
        <w:rPr>
          <w:rFonts w:ascii="Times New Roman" w:hAnsi="Times New Roman" w:cs="Times New Roman"/>
          <w:sz w:val="24"/>
          <w:szCs w:val="24"/>
        </w:rPr>
        <w:t xml:space="preserve">amined. </w:t>
      </w:r>
      <w:r w:rsidRPr="00EF3425">
        <w:rPr>
          <w:rFonts w:ascii="Times New Roman" w:hAnsi="Times New Roman" w:cs="Times New Roman"/>
          <w:sz w:val="24"/>
          <w:szCs w:val="24"/>
        </w:rPr>
        <w:t xml:space="preserve">From the QQ-plots shown below, the points do not lie on the x=y line, an indication that zero inflation may be indicated. The graphical examination is consistent with the result of the </w:t>
      </w:r>
      <w:proofErr w:type="spellStart"/>
      <w:r w:rsidRPr="00EF3425">
        <w:rPr>
          <w:rFonts w:ascii="Times New Roman" w:hAnsi="Times New Roman" w:cs="Times New Roman"/>
          <w:sz w:val="24"/>
          <w:szCs w:val="24"/>
        </w:rPr>
        <w:t>Vuong</w:t>
      </w:r>
      <w:proofErr w:type="spellEnd"/>
      <w:r w:rsidRPr="00EF3425">
        <w:rPr>
          <w:rFonts w:ascii="Times New Roman" w:hAnsi="Times New Roman" w:cs="Times New Roman"/>
          <w:sz w:val="24"/>
          <w:szCs w:val="24"/>
        </w:rPr>
        <w:t xml:space="preserve"> test.</w:t>
      </w:r>
    </w:p>
    <w:p w14:paraId="2D41452C" w14:textId="77777777" w:rsidR="009302EB" w:rsidRPr="006525C0" w:rsidRDefault="009302EB" w:rsidP="009302EB">
      <w:pPr>
        <w:spacing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6525C0">
        <w:rPr>
          <w:rFonts w:ascii="Times New Roman" w:hAnsi="Times New Roman" w:cs="Times New Roman"/>
          <w:i/>
          <w:iCs/>
          <w:sz w:val="24"/>
          <w:szCs w:val="24"/>
          <w:u w:val="single"/>
        </w:rPr>
        <w:t>Data Diagnostic Tests: Count Data</w:t>
      </w:r>
    </w:p>
    <w:p w14:paraId="3C077E8E" w14:textId="77777777" w:rsidR="009302EB" w:rsidRDefault="009302EB" w:rsidP="009302E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3425">
        <w:rPr>
          <w:rFonts w:ascii="Times New Roman" w:hAnsi="Times New Roman" w:cs="Times New Roman"/>
          <w:sz w:val="24"/>
          <w:szCs w:val="24"/>
        </w:rPr>
        <w:t>When analysing count dependent variables, two (2) important diagnostic tests that should be examined are overdispersion (Cameron and Trivedi, 1990) and excessive zeros (</w:t>
      </w:r>
      <w:proofErr w:type="spellStart"/>
      <w:r w:rsidRPr="00EF3425">
        <w:rPr>
          <w:rFonts w:ascii="Times New Roman" w:hAnsi="Times New Roman" w:cs="Times New Roman"/>
          <w:sz w:val="24"/>
          <w:szCs w:val="24"/>
        </w:rPr>
        <w:t>Vuong</w:t>
      </w:r>
      <w:proofErr w:type="spellEnd"/>
      <w:r w:rsidRPr="00EF3425">
        <w:rPr>
          <w:rFonts w:ascii="Times New Roman" w:hAnsi="Times New Roman" w:cs="Times New Roman"/>
          <w:sz w:val="24"/>
          <w:szCs w:val="24"/>
        </w:rPr>
        <w:t xml:space="preserve">, 1989). </w:t>
      </w:r>
    </w:p>
    <w:p w14:paraId="068ED1B3" w14:textId="77777777" w:rsidR="009302EB" w:rsidRPr="00EF3425" w:rsidRDefault="009302EB" w:rsidP="009302EB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F3425">
        <w:rPr>
          <w:rFonts w:ascii="Times New Roman" w:hAnsi="Times New Roman" w:cs="Times New Roman"/>
          <w:i/>
          <w:iCs/>
          <w:sz w:val="24"/>
          <w:szCs w:val="24"/>
        </w:rPr>
        <w:t xml:space="preserve">Overdispersion </w:t>
      </w:r>
    </w:p>
    <w:p w14:paraId="300F77C6" w14:textId="77777777" w:rsidR="009302EB" w:rsidRPr="00EF3425" w:rsidRDefault="009302EB" w:rsidP="009302EB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F3425">
        <w:rPr>
          <w:rFonts w:ascii="Times New Roman" w:hAnsi="Times New Roman" w:cs="Times New Roman"/>
          <w:sz w:val="24"/>
          <w:szCs w:val="24"/>
        </w:rPr>
        <w:t xml:space="preserve">The overdispersion test examine the null hypothesis of </w:t>
      </w:r>
      <w:proofErr w:type="spellStart"/>
      <w:r w:rsidRPr="00EF3425">
        <w:rPr>
          <w:rFonts w:ascii="Times New Roman" w:hAnsi="Times New Roman" w:cs="Times New Roman"/>
          <w:sz w:val="24"/>
          <w:szCs w:val="24"/>
        </w:rPr>
        <w:t>equidispersion</w:t>
      </w:r>
      <w:proofErr w:type="spellEnd"/>
      <w:r w:rsidRPr="00EF3425">
        <w:rPr>
          <w:rFonts w:ascii="Times New Roman" w:hAnsi="Times New Roman" w:cs="Times New Roman"/>
          <w:sz w:val="24"/>
          <w:szCs w:val="24"/>
        </w:rPr>
        <w:t xml:space="preserve"> where Var(Y|X) = E(Y|X) based on the following equation: </w:t>
      </w:r>
      <m:oMath>
        <m:r>
          <w:rPr>
            <w:rFonts w:ascii="Cambria Math" w:hAnsi="Cambria Math" w:cs="Times New Roman"/>
            <w:sz w:val="24"/>
            <w:szCs w:val="24"/>
          </w:rPr>
          <m:t>Var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 α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[E(Y|X)]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EF3425">
        <w:rPr>
          <w:rFonts w:ascii="Times New Roman" w:eastAsiaTheme="minorEastAsia" w:hAnsi="Times New Roman" w:cs="Times New Roman"/>
          <w:sz w:val="24"/>
          <w:szCs w:val="24"/>
        </w:rPr>
        <w:t xml:space="preserve">. The statistical significance </w:t>
      </w:r>
      <w:r w:rsidRPr="00EF3425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 w:rsidRPr="00EF3425">
        <w:rPr>
          <w:rFonts w:ascii="Times New Roman" w:eastAsiaTheme="minorEastAsia" w:hAnsi="Times New Roman" w:cs="Times New Roman"/>
          <w:sz w:val="24"/>
          <w:szCs w:val="24"/>
        </w:rPr>
        <w:t xml:space="preserve"> determine whether Poisson or Negative binomial model is adequate: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:α=0</m:t>
        </m:r>
      </m:oMath>
      <w:r w:rsidRPr="00EF3425">
        <w:rPr>
          <w:rFonts w:ascii="Times New Roman" w:eastAsiaTheme="minorEastAsia" w:hAnsi="Times New Roman" w:cs="Times New Roman"/>
          <w:sz w:val="24"/>
          <w:szCs w:val="24"/>
        </w:rPr>
        <w:t xml:space="preserve"> (equidispersion: Poisson model preferred)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:α&gt;0</m:t>
        </m:r>
      </m:oMath>
      <w:r w:rsidRPr="00EF3425">
        <w:rPr>
          <w:rFonts w:ascii="Times New Roman" w:eastAsiaTheme="minorEastAsia" w:hAnsi="Times New Roman" w:cs="Times New Roman"/>
          <w:sz w:val="24"/>
          <w:szCs w:val="24"/>
        </w:rPr>
        <w:t xml:space="preserve"> (overdispersion: Negative Binomial model preferred). </w:t>
      </w:r>
    </w:p>
    <w:p w14:paraId="5C72C62A" w14:textId="77777777" w:rsidR="009302EB" w:rsidRPr="00EF3425" w:rsidRDefault="009302EB" w:rsidP="009302EB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F3425">
        <w:rPr>
          <w:rFonts w:ascii="Times New Roman" w:eastAsiaTheme="minorEastAsia" w:hAnsi="Times New Roman" w:cs="Times New Roman"/>
          <w:sz w:val="24"/>
          <w:szCs w:val="24"/>
        </w:rPr>
        <w:t xml:space="preserve">Before examining the result of the formal test, we explore the relationship between the mean and the variance statistics of the dependent variable. </w:t>
      </w:r>
      <w:r w:rsidRPr="00DA2FCD">
        <w:rPr>
          <w:rFonts w:ascii="Times New Roman" w:eastAsiaTheme="minorEastAsia" w:hAnsi="Times New Roman" w:cs="Times New Roman"/>
          <w:sz w:val="24"/>
          <w:szCs w:val="24"/>
        </w:rPr>
        <w:t xml:space="preserve">From the table below, we note that the variance is substantially higher than the mean; an indication of overdispersion. Moreover, examining the mean and variance of every patent group also show substantial difference with the exception of groups with </w:t>
      </w:r>
      <w:proofErr w:type="gramStart"/>
      <w:r w:rsidRPr="00DA2FCD">
        <w:rPr>
          <w:rFonts w:ascii="Times New Roman" w:eastAsiaTheme="minorEastAsia" w:hAnsi="Times New Roman" w:cs="Times New Roman"/>
          <w:sz w:val="24"/>
          <w:szCs w:val="24"/>
        </w:rPr>
        <w:t>zero(</w:t>
      </w:r>
      <w:proofErr w:type="gramEnd"/>
      <w:r w:rsidRPr="00DA2FCD">
        <w:rPr>
          <w:rFonts w:ascii="Times New Roman" w:eastAsiaTheme="minorEastAsia" w:hAnsi="Times New Roman" w:cs="Times New Roman"/>
          <w:sz w:val="24"/>
          <w:szCs w:val="24"/>
        </w:rPr>
        <w:t>0) counts.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3"/>
        <w:gridCol w:w="2253"/>
        <w:gridCol w:w="2336"/>
        <w:gridCol w:w="1523"/>
      </w:tblGrid>
      <w:tr w:rsidR="009302EB" w:rsidRPr="00EF3425" w14:paraId="540820AD" w14:textId="77777777" w:rsidTr="007600AB">
        <w:trPr>
          <w:jc w:val="center"/>
        </w:trPr>
        <w:tc>
          <w:tcPr>
            <w:tcW w:w="8455" w:type="dxa"/>
            <w:gridSpan w:val="4"/>
            <w:tcBorders>
              <w:bottom w:val="single" w:sz="4" w:space="0" w:color="auto"/>
            </w:tcBorders>
          </w:tcPr>
          <w:p w14:paraId="3A290DED" w14:textId="77777777" w:rsidR="009302EB" w:rsidRPr="00EF3425" w:rsidRDefault="009302EB" w:rsidP="007600AB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3425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Table 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3</w:t>
            </w:r>
            <w:r w:rsidRPr="00EF3425">
              <w:rPr>
                <w:rFonts w:ascii="Times New Roman" w:eastAsiaTheme="minorEastAsia" w:hAnsi="Times New Roman" w:cs="Times New Roman"/>
                <w:sz w:val="24"/>
                <w:szCs w:val="24"/>
              </w:rPr>
              <w:t>. Summary Statistics of Dependent Variable: Patents</w:t>
            </w:r>
          </w:p>
        </w:tc>
      </w:tr>
      <w:tr w:rsidR="009302EB" w:rsidRPr="00EF3425" w14:paraId="64BF6B07" w14:textId="77777777" w:rsidTr="007600AB">
        <w:trPr>
          <w:jc w:val="center"/>
        </w:trPr>
        <w:tc>
          <w:tcPr>
            <w:tcW w:w="2343" w:type="dxa"/>
            <w:tcBorders>
              <w:top w:val="single" w:sz="4" w:space="0" w:color="auto"/>
              <w:bottom w:val="single" w:sz="4" w:space="0" w:color="auto"/>
            </w:tcBorders>
          </w:tcPr>
          <w:p w14:paraId="56DA760C" w14:textId="77777777" w:rsidR="009302EB" w:rsidRPr="00EF3425" w:rsidRDefault="009302EB" w:rsidP="007600AB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34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</w:tcBorders>
          </w:tcPr>
          <w:p w14:paraId="15EF851A" w14:textId="77777777" w:rsidR="009302EB" w:rsidRPr="00EF3425" w:rsidRDefault="009302EB" w:rsidP="007600AB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34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Mean 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</w:tcPr>
          <w:p w14:paraId="20D1E8A6" w14:textId="77777777" w:rsidR="009302EB" w:rsidRPr="00EF3425" w:rsidRDefault="009302EB" w:rsidP="007600AB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3425">
              <w:rPr>
                <w:rFonts w:ascii="Times New Roman" w:eastAsiaTheme="minorEastAsia" w:hAnsi="Times New Roman" w:cs="Times New Roman"/>
                <w:sz w:val="24"/>
                <w:szCs w:val="24"/>
              </w:rPr>
              <w:t>Standard Deviation</w:t>
            </w:r>
          </w:p>
        </w:tc>
        <w:tc>
          <w:tcPr>
            <w:tcW w:w="1523" w:type="dxa"/>
            <w:tcBorders>
              <w:top w:val="single" w:sz="4" w:space="0" w:color="auto"/>
              <w:bottom w:val="single" w:sz="4" w:space="0" w:color="auto"/>
            </w:tcBorders>
          </w:tcPr>
          <w:p w14:paraId="2FD6F69B" w14:textId="77777777" w:rsidR="009302EB" w:rsidRPr="00EF3425" w:rsidRDefault="009302EB" w:rsidP="007600AB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34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Variance </w:t>
            </w:r>
          </w:p>
        </w:tc>
      </w:tr>
      <w:tr w:rsidR="009302EB" w:rsidRPr="00EF3425" w14:paraId="184DB614" w14:textId="77777777" w:rsidTr="007600AB">
        <w:trPr>
          <w:jc w:val="center"/>
        </w:trPr>
        <w:tc>
          <w:tcPr>
            <w:tcW w:w="2343" w:type="dxa"/>
            <w:tcBorders>
              <w:top w:val="single" w:sz="4" w:space="0" w:color="auto"/>
            </w:tcBorders>
          </w:tcPr>
          <w:p w14:paraId="1E79D9C4" w14:textId="77777777" w:rsidR="009302EB" w:rsidRPr="00EF3425" w:rsidRDefault="009302EB" w:rsidP="007600AB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34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Overall </w:t>
            </w:r>
          </w:p>
        </w:tc>
        <w:tc>
          <w:tcPr>
            <w:tcW w:w="2253" w:type="dxa"/>
            <w:tcBorders>
              <w:top w:val="single" w:sz="4" w:space="0" w:color="auto"/>
            </w:tcBorders>
          </w:tcPr>
          <w:p w14:paraId="43A3EF19" w14:textId="77777777" w:rsidR="009302EB" w:rsidRPr="00EF3425" w:rsidRDefault="009302EB" w:rsidP="007600AB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3425">
              <w:rPr>
                <w:rFonts w:ascii="Times New Roman" w:eastAsiaTheme="minorEastAsia" w:hAnsi="Times New Roman" w:cs="Times New Roman"/>
                <w:sz w:val="24"/>
                <w:szCs w:val="24"/>
              </w:rPr>
              <w:t>26.30802</w:t>
            </w:r>
          </w:p>
        </w:tc>
        <w:tc>
          <w:tcPr>
            <w:tcW w:w="2336" w:type="dxa"/>
            <w:tcBorders>
              <w:top w:val="single" w:sz="4" w:space="0" w:color="auto"/>
            </w:tcBorders>
          </w:tcPr>
          <w:p w14:paraId="03186315" w14:textId="77777777" w:rsidR="009302EB" w:rsidRPr="00EF3425" w:rsidRDefault="009302EB" w:rsidP="007600AB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3425">
              <w:rPr>
                <w:rFonts w:ascii="Times New Roman" w:eastAsiaTheme="minorEastAsia" w:hAnsi="Times New Roman" w:cs="Times New Roman"/>
                <w:sz w:val="24"/>
                <w:szCs w:val="24"/>
              </w:rPr>
              <w:t>67.79056</w:t>
            </w:r>
          </w:p>
        </w:tc>
        <w:tc>
          <w:tcPr>
            <w:tcW w:w="1523" w:type="dxa"/>
            <w:tcBorders>
              <w:top w:val="single" w:sz="4" w:space="0" w:color="auto"/>
            </w:tcBorders>
          </w:tcPr>
          <w:p w14:paraId="599DDDAA" w14:textId="77777777" w:rsidR="009302EB" w:rsidRPr="00EF3425" w:rsidRDefault="009302EB" w:rsidP="007600AB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3425">
              <w:rPr>
                <w:rFonts w:ascii="Times New Roman" w:eastAsiaTheme="minorEastAsia" w:hAnsi="Times New Roman" w:cs="Times New Roman"/>
                <w:sz w:val="24"/>
                <w:szCs w:val="24"/>
              </w:rPr>
              <w:t>4595.56</w:t>
            </w:r>
          </w:p>
        </w:tc>
      </w:tr>
      <w:tr w:rsidR="009302EB" w:rsidRPr="00EF3425" w14:paraId="3FE76D1F" w14:textId="77777777" w:rsidTr="007600AB">
        <w:trPr>
          <w:jc w:val="center"/>
        </w:trPr>
        <w:tc>
          <w:tcPr>
            <w:tcW w:w="2343" w:type="dxa"/>
          </w:tcPr>
          <w:p w14:paraId="784ED648" w14:textId="77777777" w:rsidR="009302EB" w:rsidRPr="00EF3425" w:rsidRDefault="009302EB" w:rsidP="007600AB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34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Between </w:t>
            </w:r>
          </w:p>
        </w:tc>
        <w:tc>
          <w:tcPr>
            <w:tcW w:w="2253" w:type="dxa"/>
          </w:tcPr>
          <w:p w14:paraId="037F9121" w14:textId="77777777" w:rsidR="009302EB" w:rsidRPr="00EF3425" w:rsidRDefault="009302EB" w:rsidP="007600AB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4FEF53F6" w14:textId="77777777" w:rsidR="009302EB" w:rsidRPr="00EF3425" w:rsidRDefault="009302EB" w:rsidP="007600AB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3425">
              <w:rPr>
                <w:rFonts w:ascii="Times New Roman" w:eastAsiaTheme="minorEastAsia" w:hAnsi="Times New Roman" w:cs="Times New Roman"/>
                <w:sz w:val="24"/>
                <w:szCs w:val="24"/>
              </w:rPr>
              <w:t>66.70922</w:t>
            </w:r>
          </w:p>
        </w:tc>
        <w:tc>
          <w:tcPr>
            <w:tcW w:w="1523" w:type="dxa"/>
          </w:tcPr>
          <w:p w14:paraId="2B74EE51" w14:textId="77777777" w:rsidR="009302EB" w:rsidRPr="00EF3425" w:rsidRDefault="009302EB" w:rsidP="007600AB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3425">
              <w:rPr>
                <w:rFonts w:ascii="Times New Roman" w:eastAsiaTheme="minorEastAsia" w:hAnsi="Times New Roman" w:cs="Times New Roman"/>
                <w:sz w:val="24"/>
                <w:szCs w:val="24"/>
              </w:rPr>
              <w:t>4450.1198</w:t>
            </w:r>
          </w:p>
        </w:tc>
      </w:tr>
      <w:tr w:rsidR="009302EB" w:rsidRPr="00EF3425" w14:paraId="6ABE2CA1" w14:textId="77777777" w:rsidTr="007600AB">
        <w:trPr>
          <w:jc w:val="center"/>
        </w:trPr>
        <w:tc>
          <w:tcPr>
            <w:tcW w:w="2343" w:type="dxa"/>
            <w:tcBorders>
              <w:bottom w:val="single" w:sz="4" w:space="0" w:color="auto"/>
            </w:tcBorders>
          </w:tcPr>
          <w:p w14:paraId="2C5213FB" w14:textId="77777777" w:rsidR="009302EB" w:rsidRPr="00EF3425" w:rsidRDefault="009302EB" w:rsidP="007600AB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3425">
              <w:rPr>
                <w:rFonts w:ascii="Times New Roman" w:eastAsiaTheme="minorEastAsia" w:hAnsi="Times New Roman" w:cs="Times New Roman"/>
                <w:sz w:val="24"/>
                <w:szCs w:val="24"/>
              </w:rPr>
              <w:t>Within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14:paraId="63D5563A" w14:textId="77777777" w:rsidR="009302EB" w:rsidRPr="00EF3425" w:rsidRDefault="009302EB" w:rsidP="007600AB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  <w:tcBorders>
              <w:bottom w:val="single" w:sz="4" w:space="0" w:color="auto"/>
            </w:tcBorders>
          </w:tcPr>
          <w:p w14:paraId="0A59EB4E" w14:textId="77777777" w:rsidR="009302EB" w:rsidRPr="00EF3425" w:rsidRDefault="009302EB" w:rsidP="007600AB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3425">
              <w:rPr>
                <w:rFonts w:ascii="Times New Roman" w:eastAsiaTheme="minorEastAsia" w:hAnsi="Times New Roman" w:cs="Times New Roman"/>
                <w:sz w:val="24"/>
                <w:szCs w:val="24"/>
              </w:rPr>
              <w:t>12.3088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36A4C8F5" w14:textId="77777777" w:rsidR="009302EB" w:rsidRPr="00EF3425" w:rsidRDefault="009302EB" w:rsidP="007600AB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3425">
              <w:rPr>
                <w:rFonts w:ascii="Times New Roman" w:eastAsiaTheme="minorEastAsia" w:hAnsi="Times New Roman" w:cs="Times New Roman"/>
                <w:sz w:val="24"/>
                <w:szCs w:val="24"/>
              </w:rPr>
              <w:t>151.50657</w:t>
            </w:r>
          </w:p>
        </w:tc>
      </w:tr>
    </w:tbl>
    <w:p w14:paraId="1CC2FD39" w14:textId="77777777" w:rsidR="009302EB" w:rsidRDefault="009302EB" w:rsidP="009302EB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F793A49" w14:textId="77777777" w:rsidR="009302EB" w:rsidRDefault="009302EB" w:rsidP="009302EB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F3425">
        <w:rPr>
          <w:rFonts w:ascii="Times New Roman" w:eastAsiaTheme="minorEastAsia" w:hAnsi="Times New Roman" w:cs="Times New Roman"/>
          <w:sz w:val="24"/>
          <w:szCs w:val="24"/>
        </w:rPr>
        <w:t xml:space="preserve">The test of overdispersion test for both the model without the lagged values of research and development (t = 32.93, p = 0.000) and with the lagged values (t = 20.21, p = 0.000) are statistically significant; an indication of overdispersion. Hence, the test suggests that the negative binomial is preferred over the Poisson in model. </w:t>
      </w:r>
    </w:p>
    <w:p w14:paraId="68BE06C4" w14:textId="77777777" w:rsidR="009302EB" w:rsidRPr="00DA2FCD" w:rsidRDefault="009302EB" w:rsidP="009302EB">
      <w:p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DA2FC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Information Criteria </w:t>
      </w:r>
    </w:p>
    <w:p w14:paraId="5D167DF8" w14:textId="77777777" w:rsidR="009302EB" w:rsidRPr="00EF3425" w:rsidRDefault="009302EB" w:rsidP="009302EB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F3425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Previous examination suggested the existence of individual firm effect within the model. Based on the results of the excess zeros examination, we investigate the performance of zero-inflated models with panel (random effects) forms of Poisson and Negative Binomial models. Table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4 </w:t>
      </w:r>
      <w:r w:rsidRPr="00EF3425">
        <w:rPr>
          <w:rFonts w:ascii="Times New Roman" w:eastAsiaTheme="minorEastAsia" w:hAnsi="Times New Roman" w:cs="Times New Roman"/>
          <w:sz w:val="24"/>
          <w:szCs w:val="24"/>
        </w:rPr>
        <w:t xml:space="preserve">below shows the performance of these models in terms of log-likelihood, Akaike Information Criterion and Bayesian Information Criterion. From the table, we note that the Panel Poisson and Panel Negative Binomial models had superior information criteria than the inflated-based models. Hence, the panel-based models would be used in estimations. 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3"/>
        <w:gridCol w:w="1940"/>
        <w:gridCol w:w="1434"/>
        <w:gridCol w:w="1371"/>
        <w:gridCol w:w="10"/>
      </w:tblGrid>
      <w:tr w:rsidR="009302EB" w:rsidRPr="0071402A" w14:paraId="5EDE260D" w14:textId="77777777" w:rsidTr="007600AB">
        <w:trPr>
          <w:trHeight w:val="256"/>
          <w:jc w:val="center"/>
        </w:trPr>
        <w:tc>
          <w:tcPr>
            <w:tcW w:w="8758" w:type="dxa"/>
            <w:gridSpan w:val="5"/>
          </w:tcPr>
          <w:p w14:paraId="42EB7B18" w14:textId="77777777" w:rsidR="009302EB" w:rsidRPr="0071402A" w:rsidRDefault="009302EB" w:rsidP="007600AB">
            <w:pPr>
              <w:widowControl w:val="0"/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34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Table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EF34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Pr="0071402A">
              <w:rPr>
                <w:rFonts w:ascii="Times New Roman" w:hAnsi="Times New Roman" w:cs="Times New Roman"/>
                <w:sz w:val="24"/>
                <w:szCs w:val="24"/>
              </w:rPr>
              <w:t>Akaike's information criterion and Bayesian information criterion</w:t>
            </w:r>
          </w:p>
        </w:tc>
      </w:tr>
      <w:tr w:rsidR="009302EB" w:rsidRPr="0071402A" w14:paraId="67CFB8C7" w14:textId="77777777" w:rsidTr="007600AB">
        <w:trPr>
          <w:gridAfter w:val="1"/>
          <w:wAfter w:w="10" w:type="dxa"/>
          <w:trHeight w:val="242"/>
          <w:jc w:val="center"/>
        </w:trPr>
        <w:tc>
          <w:tcPr>
            <w:tcW w:w="4003" w:type="dxa"/>
            <w:tcBorders>
              <w:top w:val="single" w:sz="4" w:space="0" w:color="auto"/>
              <w:bottom w:val="single" w:sz="4" w:space="0" w:color="auto"/>
            </w:tcBorders>
          </w:tcPr>
          <w:p w14:paraId="0B66B4DD" w14:textId="77777777" w:rsidR="009302EB" w:rsidRPr="0071402A" w:rsidRDefault="009302EB" w:rsidP="007600AB">
            <w:pPr>
              <w:widowControl w:val="0"/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bottom w:val="single" w:sz="4" w:space="0" w:color="auto"/>
            </w:tcBorders>
          </w:tcPr>
          <w:p w14:paraId="7E354A96" w14:textId="77777777" w:rsidR="009302EB" w:rsidRPr="0071402A" w:rsidRDefault="009302EB" w:rsidP="007600AB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40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</w:t>
            </w:r>
            <w:proofErr w:type="spellEnd"/>
            <w:r w:rsidRPr="007140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(model)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</w:tcBorders>
          </w:tcPr>
          <w:p w14:paraId="5D7B678F" w14:textId="77777777" w:rsidR="009302EB" w:rsidRPr="0071402A" w:rsidRDefault="009302EB" w:rsidP="007600AB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40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AIC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6240B795" w14:textId="77777777" w:rsidR="009302EB" w:rsidRPr="0071402A" w:rsidRDefault="009302EB" w:rsidP="007600AB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40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BIC</w:t>
            </w:r>
          </w:p>
        </w:tc>
      </w:tr>
      <w:tr w:rsidR="009302EB" w:rsidRPr="00EF3425" w14:paraId="758D87BA" w14:textId="77777777" w:rsidTr="007600AB">
        <w:trPr>
          <w:gridAfter w:val="1"/>
          <w:wAfter w:w="10" w:type="dxa"/>
          <w:trHeight w:val="256"/>
          <w:jc w:val="center"/>
        </w:trPr>
        <w:tc>
          <w:tcPr>
            <w:tcW w:w="4003" w:type="dxa"/>
            <w:tcBorders>
              <w:top w:val="single" w:sz="4" w:space="0" w:color="auto"/>
            </w:tcBorders>
          </w:tcPr>
          <w:p w14:paraId="26F0887B" w14:textId="77777777" w:rsidR="009302EB" w:rsidRPr="0071402A" w:rsidRDefault="009302EB" w:rsidP="007600AB">
            <w:pPr>
              <w:widowControl w:val="0"/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402A">
              <w:rPr>
                <w:rFonts w:ascii="Times New Roman" w:hAnsi="Times New Roman" w:cs="Times New Roman"/>
                <w:sz w:val="24"/>
                <w:szCs w:val="24"/>
              </w:rPr>
              <w:t>Zero</w:t>
            </w:r>
            <w:r w:rsidRPr="00EF34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1402A">
              <w:rPr>
                <w:rFonts w:ascii="Times New Roman" w:hAnsi="Times New Roman" w:cs="Times New Roman"/>
                <w:sz w:val="24"/>
                <w:szCs w:val="24"/>
              </w:rPr>
              <w:t>Inflat</w:t>
            </w:r>
            <w:r w:rsidRPr="00EF3425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71402A">
              <w:rPr>
                <w:rFonts w:ascii="Times New Roman" w:hAnsi="Times New Roman" w:cs="Times New Roman"/>
                <w:sz w:val="24"/>
                <w:szCs w:val="24"/>
              </w:rPr>
              <w:t xml:space="preserve"> Poisson</w:t>
            </w:r>
          </w:p>
        </w:tc>
        <w:tc>
          <w:tcPr>
            <w:tcW w:w="1940" w:type="dxa"/>
            <w:tcBorders>
              <w:top w:val="single" w:sz="4" w:space="0" w:color="auto"/>
            </w:tcBorders>
          </w:tcPr>
          <w:p w14:paraId="74B09685" w14:textId="77777777" w:rsidR="009302EB" w:rsidRPr="0071402A" w:rsidRDefault="009302EB" w:rsidP="007600AB">
            <w:pPr>
              <w:widowControl w:val="0"/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402A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  <w:r w:rsidRPr="00EF3425">
              <w:rPr>
                <w:rFonts w:ascii="Times New Roman" w:hAnsi="Times New Roman" w:cs="Times New Roman"/>
                <w:sz w:val="24"/>
                <w:szCs w:val="24"/>
              </w:rPr>
              <w:t>1400.74</w:t>
            </w:r>
          </w:p>
        </w:tc>
        <w:tc>
          <w:tcPr>
            <w:tcW w:w="1434" w:type="dxa"/>
            <w:tcBorders>
              <w:top w:val="single" w:sz="4" w:space="0" w:color="auto"/>
            </w:tcBorders>
          </w:tcPr>
          <w:p w14:paraId="358B633B" w14:textId="77777777" w:rsidR="009302EB" w:rsidRPr="0071402A" w:rsidRDefault="009302EB" w:rsidP="007600AB">
            <w:pPr>
              <w:widowControl w:val="0"/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3425">
              <w:rPr>
                <w:rFonts w:ascii="Times New Roman" w:hAnsi="Times New Roman" w:cs="Times New Roman"/>
                <w:sz w:val="24"/>
                <w:szCs w:val="24"/>
              </w:rPr>
              <w:t>82815.470</w:t>
            </w:r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3F6A8C1A" w14:textId="77777777" w:rsidR="009302EB" w:rsidRPr="0071402A" w:rsidRDefault="009302EB" w:rsidP="007600AB">
            <w:pPr>
              <w:widowControl w:val="0"/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3425">
              <w:rPr>
                <w:rFonts w:ascii="Times New Roman" w:hAnsi="Times New Roman" w:cs="Times New Roman"/>
                <w:sz w:val="24"/>
                <w:szCs w:val="24"/>
              </w:rPr>
              <w:t>82861.280</w:t>
            </w:r>
          </w:p>
        </w:tc>
      </w:tr>
      <w:tr w:rsidR="009302EB" w:rsidRPr="00EF3425" w14:paraId="77266D35" w14:textId="77777777" w:rsidTr="007600AB">
        <w:trPr>
          <w:gridAfter w:val="1"/>
          <w:wAfter w:w="10" w:type="dxa"/>
          <w:trHeight w:val="242"/>
          <w:jc w:val="center"/>
        </w:trPr>
        <w:tc>
          <w:tcPr>
            <w:tcW w:w="4003" w:type="dxa"/>
          </w:tcPr>
          <w:p w14:paraId="519CD2F2" w14:textId="77777777" w:rsidR="009302EB" w:rsidRPr="0071402A" w:rsidRDefault="009302EB" w:rsidP="007600AB">
            <w:pPr>
              <w:widowControl w:val="0"/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402A">
              <w:rPr>
                <w:rFonts w:ascii="Times New Roman" w:hAnsi="Times New Roman" w:cs="Times New Roman"/>
                <w:sz w:val="24"/>
                <w:szCs w:val="24"/>
              </w:rPr>
              <w:t xml:space="preserve">Panel Poisson Random </w:t>
            </w:r>
            <w:r w:rsidRPr="00EF3425">
              <w:rPr>
                <w:rFonts w:ascii="Times New Roman" w:hAnsi="Times New Roman" w:cs="Times New Roman"/>
                <w:sz w:val="24"/>
                <w:szCs w:val="24"/>
              </w:rPr>
              <w:t xml:space="preserve">Effect </w:t>
            </w:r>
            <w:r w:rsidRPr="0071402A">
              <w:rPr>
                <w:rFonts w:ascii="Times New Roman" w:hAnsi="Times New Roman" w:cs="Times New Roman"/>
                <w:sz w:val="24"/>
                <w:szCs w:val="24"/>
              </w:rPr>
              <w:t xml:space="preserve">Model  </w:t>
            </w:r>
          </w:p>
        </w:tc>
        <w:tc>
          <w:tcPr>
            <w:tcW w:w="1940" w:type="dxa"/>
          </w:tcPr>
          <w:p w14:paraId="085568CE" w14:textId="77777777" w:rsidR="009302EB" w:rsidRPr="0071402A" w:rsidRDefault="009302EB" w:rsidP="007600AB">
            <w:pPr>
              <w:widowControl w:val="0"/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402A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Pr="00EF3425">
              <w:rPr>
                <w:rFonts w:ascii="Times New Roman" w:hAnsi="Times New Roman" w:cs="Times New Roman"/>
                <w:sz w:val="24"/>
                <w:szCs w:val="24"/>
              </w:rPr>
              <w:t>4919.55</w:t>
            </w:r>
          </w:p>
        </w:tc>
        <w:tc>
          <w:tcPr>
            <w:tcW w:w="1434" w:type="dxa"/>
          </w:tcPr>
          <w:p w14:paraId="4FA266F9" w14:textId="77777777" w:rsidR="009302EB" w:rsidRPr="0071402A" w:rsidRDefault="009302EB" w:rsidP="007600AB">
            <w:pPr>
              <w:widowControl w:val="0"/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402A">
              <w:rPr>
                <w:rFonts w:ascii="Times New Roman" w:hAnsi="Times New Roman" w:cs="Times New Roman"/>
                <w:sz w:val="24"/>
                <w:szCs w:val="24"/>
              </w:rPr>
              <w:t>29849.100</w:t>
            </w:r>
          </w:p>
        </w:tc>
        <w:tc>
          <w:tcPr>
            <w:tcW w:w="1371" w:type="dxa"/>
          </w:tcPr>
          <w:p w14:paraId="24554AE1" w14:textId="77777777" w:rsidR="009302EB" w:rsidRPr="0071402A" w:rsidRDefault="009302EB" w:rsidP="007600AB">
            <w:pPr>
              <w:widowControl w:val="0"/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402A">
              <w:rPr>
                <w:rFonts w:ascii="Times New Roman" w:hAnsi="Times New Roman" w:cs="Times New Roman"/>
                <w:sz w:val="24"/>
                <w:szCs w:val="24"/>
              </w:rPr>
              <w:t>29881.820</w:t>
            </w:r>
          </w:p>
        </w:tc>
      </w:tr>
      <w:tr w:rsidR="009302EB" w:rsidRPr="00EF3425" w14:paraId="04C5BE2E" w14:textId="77777777" w:rsidTr="007600AB">
        <w:trPr>
          <w:gridAfter w:val="1"/>
          <w:wAfter w:w="10" w:type="dxa"/>
          <w:trHeight w:val="256"/>
          <w:jc w:val="center"/>
        </w:trPr>
        <w:tc>
          <w:tcPr>
            <w:tcW w:w="4003" w:type="dxa"/>
          </w:tcPr>
          <w:p w14:paraId="1838716F" w14:textId="77777777" w:rsidR="009302EB" w:rsidRPr="0071402A" w:rsidRDefault="009302EB" w:rsidP="007600AB">
            <w:pPr>
              <w:widowControl w:val="0"/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402A">
              <w:rPr>
                <w:rFonts w:ascii="Times New Roman" w:hAnsi="Times New Roman" w:cs="Times New Roman"/>
                <w:sz w:val="24"/>
                <w:szCs w:val="24"/>
              </w:rPr>
              <w:t>Zero</w:t>
            </w:r>
            <w:r w:rsidRPr="00EF34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1402A">
              <w:rPr>
                <w:rFonts w:ascii="Times New Roman" w:hAnsi="Times New Roman" w:cs="Times New Roman"/>
                <w:sz w:val="24"/>
                <w:szCs w:val="24"/>
              </w:rPr>
              <w:t>Inflat</w:t>
            </w:r>
            <w:r w:rsidRPr="00EF3425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71402A">
              <w:rPr>
                <w:rFonts w:ascii="Times New Roman" w:hAnsi="Times New Roman" w:cs="Times New Roman"/>
                <w:sz w:val="24"/>
                <w:szCs w:val="24"/>
              </w:rPr>
              <w:t xml:space="preserve"> Negative Binomial </w:t>
            </w:r>
          </w:p>
        </w:tc>
        <w:tc>
          <w:tcPr>
            <w:tcW w:w="1940" w:type="dxa"/>
          </w:tcPr>
          <w:p w14:paraId="48646772" w14:textId="77777777" w:rsidR="009302EB" w:rsidRPr="0071402A" w:rsidRDefault="009302EB" w:rsidP="007600AB">
            <w:pPr>
              <w:widowControl w:val="0"/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402A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Pr="00EF3425">
              <w:rPr>
                <w:rFonts w:ascii="Times New Roman" w:hAnsi="Times New Roman" w:cs="Times New Roman"/>
                <w:sz w:val="24"/>
                <w:szCs w:val="24"/>
              </w:rPr>
              <w:t>5532.18</w:t>
            </w:r>
          </w:p>
        </w:tc>
        <w:tc>
          <w:tcPr>
            <w:tcW w:w="1434" w:type="dxa"/>
          </w:tcPr>
          <w:p w14:paraId="4EE15C20" w14:textId="77777777" w:rsidR="009302EB" w:rsidRPr="0071402A" w:rsidRDefault="009302EB" w:rsidP="007600AB">
            <w:pPr>
              <w:widowControl w:val="0"/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3425">
              <w:rPr>
                <w:rFonts w:ascii="Times New Roman" w:hAnsi="Times New Roman" w:cs="Times New Roman"/>
                <w:sz w:val="24"/>
                <w:szCs w:val="24"/>
              </w:rPr>
              <w:t>31080.350</w:t>
            </w:r>
          </w:p>
        </w:tc>
        <w:tc>
          <w:tcPr>
            <w:tcW w:w="1371" w:type="dxa"/>
          </w:tcPr>
          <w:p w14:paraId="36981E0E" w14:textId="77777777" w:rsidR="009302EB" w:rsidRPr="0071402A" w:rsidRDefault="009302EB" w:rsidP="007600AB">
            <w:pPr>
              <w:widowControl w:val="0"/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3425">
              <w:rPr>
                <w:rFonts w:ascii="Times New Roman" w:hAnsi="Times New Roman" w:cs="Times New Roman"/>
                <w:sz w:val="24"/>
                <w:szCs w:val="24"/>
              </w:rPr>
              <w:t>31132.710</w:t>
            </w:r>
          </w:p>
        </w:tc>
      </w:tr>
      <w:tr w:rsidR="009302EB" w:rsidRPr="00EF3425" w14:paraId="3B4E86D1" w14:textId="77777777" w:rsidTr="007600AB">
        <w:trPr>
          <w:gridAfter w:val="1"/>
          <w:wAfter w:w="10" w:type="dxa"/>
          <w:trHeight w:val="256"/>
          <w:jc w:val="center"/>
        </w:trPr>
        <w:tc>
          <w:tcPr>
            <w:tcW w:w="4003" w:type="dxa"/>
            <w:tcBorders>
              <w:bottom w:val="single" w:sz="4" w:space="0" w:color="auto"/>
            </w:tcBorders>
          </w:tcPr>
          <w:p w14:paraId="311D9BF1" w14:textId="77777777" w:rsidR="009302EB" w:rsidRPr="0071402A" w:rsidRDefault="009302EB" w:rsidP="007600AB">
            <w:pPr>
              <w:widowControl w:val="0"/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402A">
              <w:rPr>
                <w:rFonts w:ascii="Times New Roman" w:hAnsi="Times New Roman" w:cs="Times New Roman"/>
                <w:sz w:val="24"/>
                <w:szCs w:val="24"/>
              </w:rPr>
              <w:t xml:space="preserve">Panel Negative Binomial Model </w:t>
            </w: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14:paraId="57F42CFD" w14:textId="77777777" w:rsidR="009302EB" w:rsidRPr="0071402A" w:rsidRDefault="009302EB" w:rsidP="007600AB">
            <w:pPr>
              <w:widowControl w:val="0"/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402A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Pr="00EF3425">
              <w:rPr>
                <w:rFonts w:ascii="Times New Roman" w:hAnsi="Times New Roman" w:cs="Times New Roman"/>
                <w:sz w:val="24"/>
                <w:szCs w:val="24"/>
              </w:rPr>
              <w:t>3515.28</w:t>
            </w:r>
          </w:p>
        </w:tc>
        <w:tc>
          <w:tcPr>
            <w:tcW w:w="1434" w:type="dxa"/>
            <w:tcBorders>
              <w:bottom w:val="single" w:sz="4" w:space="0" w:color="auto"/>
            </w:tcBorders>
          </w:tcPr>
          <w:p w14:paraId="4D6EC7D7" w14:textId="77777777" w:rsidR="009302EB" w:rsidRPr="0071402A" w:rsidRDefault="009302EB" w:rsidP="007600AB">
            <w:pPr>
              <w:widowControl w:val="0"/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402A">
              <w:rPr>
                <w:rFonts w:ascii="Times New Roman" w:hAnsi="Times New Roman" w:cs="Times New Roman"/>
                <w:sz w:val="24"/>
                <w:szCs w:val="24"/>
              </w:rPr>
              <w:t>27042.560</w:t>
            </w:r>
          </w:p>
        </w:tc>
        <w:tc>
          <w:tcPr>
            <w:tcW w:w="1371" w:type="dxa"/>
            <w:tcBorders>
              <w:bottom w:val="single" w:sz="4" w:space="0" w:color="auto"/>
            </w:tcBorders>
          </w:tcPr>
          <w:p w14:paraId="2DF56C75" w14:textId="77777777" w:rsidR="009302EB" w:rsidRPr="0071402A" w:rsidRDefault="009302EB" w:rsidP="007600AB">
            <w:pPr>
              <w:widowControl w:val="0"/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402A">
              <w:rPr>
                <w:rFonts w:ascii="Times New Roman" w:hAnsi="Times New Roman" w:cs="Times New Roman"/>
                <w:sz w:val="24"/>
                <w:szCs w:val="24"/>
              </w:rPr>
              <w:t>27081.830</w:t>
            </w:r>
          </w:p>
        </w:tc>
      </w:tr>
    </w:tbl>
    <w:p w14:paraId="72C32B4C" w14:textId="77777777" w:rsidR="00AF1D2D" w:rsidRDefault="00AF1D2D"/>
    <w:sectPr w:rsidR="00AF1D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D2D"/>
    <w:rsid w:val="00483602"/>
    <w:rsid w:val="005C5A34"/>
    <w:rsid w:val="006525C0"/>
    <w:rsid w:val="00707E5F"/>
    <w:rsid w:val="009302EB"/>
    <w:rsid w:val="00AF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0CAF7"/>
  <w15:chartTrackingRefBased/>
  <w15:docId w15:val="{72B88173-1078-714F-8BFF-5B333C18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D2D"/>
    <w:pPr>
      <w:spacing w:after="160" w:line="259" w:lineRule="auto"/>
    </w:pPr>
    <w:rPr>
      <w:kern w:val="2"/>
      <w:sz w:val="22"/>
      <w:szCs w:val="2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1D2D"/>
    <w:rPr>
      <w:kern w:val="2"/>
      <w:sz w:val="22"/>
      <w:szCs w:val="22"/>
      <w:lang w:val="en-GB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9302EB"/>
    <w:rPr>
      <w:rFonts w:eastAsiaTheme="minorEastAsia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ha</dc:creator>
  <cp:keywords/>
  <dc:description/>
  <cp:lastModifiedBy>mo ha</cp:lastModifiedBy>
  <cp:revision>2</cp:revision>
  <dcterms:created xsi:type="dcterms:W3CDTF">2022-11-29T13:45:00Z</dcterms:created>
  <dcterms:modified xsi:type="dcterms:W3CDTF">2022-11-29T15:17:00Z</dcterms:modified>
</cp:coreProperties>
</file>