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CF8" w:rsidRDefault="009974CF" w:rsidP="003D369C">
      <w:pPr>
        <w:pStyle w:val="Title"/>
        <w:jc w:val="center"/>
      </w:pPr>
      <w:r>
        <w:t>Reviewi</w:t>
      </w:r>
      <w:bookmarkStart w:id="0" w:name="_GoBack"/>
      <w:bookmarkEnd w:id="0"/>
      <w:r>
        <w:t>ng the NIH GWAS Catalog for candidate malignancies ready for Polygenic Risk assessment</w:t>
      </w:r>
    </w:p>
    <w:p w:rsidR="00A01CF8" w:rsidRDefault="009974CF">
      <w:pPr>
        <w:pStyle w:val="Author"/>
      </w:pPr>
      <w:r>
        <w:t>James Morgan</w:t>
      </w:r>
      <w:r>
        <w:rPr>
          <w:vertAlign w:val="superscript"/>
        </w:rPr>
        <w:t>1</w:t>
      </w:r>
      <w:r>
        <w:t>, and Paul James</w:t>
      </w:r>
      <w:r>
        <w:rPr>
          <w:vertAlign w:val="superscript"/>
        </w:rPr>
        <w:t>1</w:t>
      </w:r>
    </w:p>
    <w:p w:rsidR="00A01CF8" w:rsidRDefault="009974CF">
      <w:pPr>
        <w:pStyle w:val="FirstParagraph"/>
      </w:pPr>
      <w:r>
        <w:rPr>
          <w:vertAlign w:val="superscript"/>
        </w:rPr>
        <w:t>1</w:t>
      </w:r>
      <w:r>
        <w:t xml:space="preserve"> </w:t>
      </w:r>
      <w:r>
        <w:t>The Parkville Familial Cancer Centre, Peter MacCallum Cancer Centre and The Royal Melbourne Hospital, Melbourne, Victoria, Australia, 3000</w:t>
      </w:r>
    </w:p>
    <w:p w:rsidR="00A01CF8" w:rsidRDefault="009974CF">
      <w:pPr>
        <w:pStyle w:val="Heading1"/>
      </w:pPr>
      <w:bookmarkStart w:id="1" w:name="background"/>
      <w:r>
        <w:t>Background</w:t>
      </w:r>
      <w:bookmarkEnd w:id="1"/>
    </w:p>
    <w:p w:rsidR="00A01CF8" w:rsidRDefault="009974CF">
      <w:pPr>
        <w:pStyle w:val="FirstParagraph"/>
      </w:pPr>
      <w:r>
        <w:t>The annual cost of cancer treatment in Australia amounts to billions of dollars worth of burden on the hea</w:t>
      </w:r>
      <w:r>
        <w:t>lth system. Successful identification and targeted screening of those most at risk offers a far more cost-effective means of reducing cancer burden. Compared to existing risk estimation methods that rely primarily on family-history, Polygenic Risk Assessme</w:t>
      </w:r>
      <w:r>
        <w:t>nt offers the potential for a far more precise and personalised mechanism for determining an individual’s cancer risk, even in the absence of a significant family history.</w:t>
      </w:r>
    </w:p>
    <w:p w:rsidR="00A01CF8" w:rsidRDefault="009974CF">
      <w:pPr>
        <w:pStyle w:val="BodyText"/>
      </w:pPr>
      <w:r>
        <w:t>To determine which malignancies are ready for clinical polygenic risk assessment, we</w:t>
      </w:r>
      <w:r>
        <w:t xml:space="preserve"> are analysing the NHGRI-EBI Catalog of published genome-wide association studies, applying </w:t>
      </w:r>
      <w:r>
        <w:rPr>
          <w:b/>
        </w:rPr>
        <w:t>blah</w:t>
      </w:r>
      <w:r>
        <w:t xml:space="preserve"> criteria to identify malignancies with robust evidence suggesting the polygenic component of their risk is reliably quantifiable.</w:t>
      </w:r>
    </w:p>
    <w:p w:rsidR="00A01CF8" w:rsidRDefault="009974CF">
      <w:pPr>
        <w:pStyle w:val="Heading1"/>
      </w:pPr>
      <w:bookmarkStart w:id="2" w:name="methods"/>
      <w:r>
        <w:t>Methods</w:t>
      </w:r>
      <w:bookmarkEnd w:id="2"/>
    </w:p>
    <w:p w:rsidR="00A01CF8" w:rsidRDefault="009974CF">
      <w:pPr>
        <w:pStyle w:val="FirstParagraph"/>
      </w:pPr>
      <w:r>
        <w:t>Up-to-date publicatio</w:t>
      </w:r>
      <w:r>
        <w:t xml:space="preserve">n data for all studies recorded in the GWAS Catalog was obtained using the </w:t>
      </w:r>
      <w:r>
        <w:rPr>
          <w:b/>
        </w:rPr>
        <w:t>gwascat</w:t>
      </w:r>
      <w:r>
        <w:t xml:space="preserve"> package available for R via BioConductor. The data were filtered, cleaned and analysed to identify studies reporting Single Nucleotide Polymorphisms (SNPs) associated with a</w:t>
      </w:r>
      <w:r>
        <w:t>n increase in the risk of a particular type of cancer. The reported SNPs for these malignancies were then assessed for validity by .</w:t>
      </w:r>
    </w:p>
    <w:p w:rsidR="00A01CF8" w:rsidRDefault="009974CF">
      <w:pPr>
        <w:pStyle w:val="Heading1"/>
      </w:pPr>
      <w:bookmarkStart w:id="3" w:name="results"/>
      <w:r>
        <w:t>Results</w:t>
      </w:r>
      <w:bookmarkEnd w:id="3"/>
    </w:p>
    <w:p w:rsidR="00A01CF8" w:rsidRDefault="009974CF">
      <w:pPr>
        <w:pStyle w:val="Heading1"/>
      </w:pPr>
      <w:bookmarkStart w:id="4" w:name="conclusion"/>
      <w:r>
        <w:t>Conclusion</w:t>
      </w:r>
      <w:bookmarkEnd w:id="4"/>
    </w:p>
    <w:p w:rsidR="00A01CF8" w:rsidRDefault="009974CF">
      <w:pPr>
        <w:pStyle w:val="FirstParagraph"/>
      </w:pPr>
      <w:r>
        <w:t>SNPs predisposing risk to cancers were found to be have robust representation within the GWAS catalog, i</w:t>
      </w:r>
      <w:r>
        <w:t>ndicating that there may be sufficient data available to</w:t>
      </w:r>
    </w:p>
    <w:sectPr w:rsidR="00A01C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4CF" w:rsidRDefault="009974CF">
      <w:pPr>
        <w:spacing w:after="0"/>
      </w:pPr>
      <w:r>
        <w:separator/>
      </w:r>
    </w:p>
  </w:endnote>
  <w:endnote w:type="continuationSeparator" w:id="0">
    <w:p w:rsidR="009974CF" w:rsidRDefault="009974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4CF" w:rsidRDefault="009974CF">
      <w:r>
        <w:separator/>
      </w:r>
    </w:p>
  </w:footnote>
  <w:footnote w:type="continuationSeparator" w:id="0">
    <w:p w:rsidR="009974CF" w:rsidRDefault="00997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DA9342"/>
    <w:multiLevelType w:val="multilevel"/>
    <w:tmpl w:val="0B6EC8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7FB6A4"/>
    <w:multiLevelType w:val="multilevel"/>
    <w:tmpl w:val="E102AE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9D5306D"/>
    <w:multiLevelType w:val="multilevel"/>
    <w:tmpl w:val="7B70D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D5969B8"/>
    <w:multiLevelType w:val="multilevel"/>
    <w:tmpl w:val="B30A1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98FCDC0"/>
    <w:multiLevelType w:val="multilevel"/>
    <w:tmpl w:val="B486F3C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C061A8A"/>
    <w:multiLevelType w:val="multilevel"/>
    <w:tmpl w:val="9FCE0A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17F69BA"/>
    <w:multiLevelType w:val="multilevel"/>
    <w:tmpl w:val="6C9E45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2F92113"/>
    <w:multiLevelType w:val="multilevel"/>
    <w:tmpl w:val="A364D9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93C4AC4"/>
    <w:multiLevelType w:val="multilevel"/>
    <w:tmpl w:val="1C3EEC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C3E95E9"/>
    <w:multiLevelType w:val="multilevel"/>
    <w:tmpl w:val="377054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7C"/>
    <w:multiLevelType w:val="singleLevel"/>
    <w:tmpl w:val="DBDAF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1" w15:restartNumberingAfterBreak="0">
    <w:nsid w:val="FFFFFF7D"/>
    <w:multiLevelType w:val="singleLevel"/>
    <w:tmpl w:val="06F8B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2" w15:restartNumberingAfterBreak="0">
    <w:nsid w:val="FFFFFF7E"/>
    <w:multiLevelType w:val="singleLevel"/>
    <w:tmpl w:val="CBE466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3" w15:restartNumberingAfterBreak="0">
    <w:nsid w:val="FFFFFF7F"/>
    <w:multiLevelType w:val="singleLevel"/>
    <w:tmpl w:val="341453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4" w15:restartNumberingAfterBreak="0">
    <w:nsid w:val="FFFFFF80"/>
    <w:multiLevelType w:val="singleLevel"/>
    <w:tmpl w:val="F2764A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5" w15:restartNumberingAfterBreak="0">
    <w:nsid w:val="FFFFFF81"/>
    <w:multiLevelType w:val="singleLevel"/>
    <w:tmpl w:val="4B3255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6" w15:restartNumberingAfterBreak="0">
    <w:nsid w:val="FFFFFF82"/>
    <w:multiLevelType w:val="singleLevel"/>
    <w:tmpl w:val="48543F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7" w15:restartNumberingAfterBreak="0">
    <w:nsid w:val="FFFFFF83"/>
    <w:multiLevelType w:val="singleLevel"/>
    <w:tmpl w:val="4B16EC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8" w15:restartNumberingAfterBreak="0">
    <w:nsid w:val="FFFFFF88"/>
    <w:multiLevelType w:val="singleLevel"/>
    <w:tmpl w:val="BA1A1A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FFFFFF89"/>
    <w:multiLevelType w:val="singleLevel"/>
    <w:tmpl w:val="2732F3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164E4F0C"/>
    <w:multiLevelType w:val="multilevel"/>
    <w:tmpl w:val="EF7C05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C1AE401"/>
    <w:multiLevelType w:val="multilevel"/>
    <w:tmpl w:val="E180A1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2F75D748"/>
    <w:multiLevelType w:val="multilevel"/>
    <w:tmpl w:val="5F3AB6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9231960"/>
    <w:multiLevelType w:val="multilevel"/>
    <w:tmpl w:val="E8A237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E0BE704"/>
    <w:multiLevelType w:val="multilevel"/>
    <w:tmpl w:val="62CEF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0F59153"/>
    <w:multiLevelType w:val="multilevel"/>
    <w:tmpl w:val="6CE4D1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E474F95"/>
    <w:multiLevelType w:val="multilevel"/>
    <w:tmpl w:val="838C1C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0C9176B"/>
    <w:multiLevelType w:val="multilevel"/>
    <w:tmpl w:val="AB0695E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7457679"/>
    <w:multiLevelType w:val="multilevel"/>
    <w:tmpl w:val="51E668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4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19"/>
  </w:num>
  <w:num w:numId="10">
    <w:abstractNumId w:val="17"/>
  </w:num>
  <w:num w:numId="11">
    <w:abstractNumId w:val="16"/>
  </w:num>
  <w:num w:numId="12">
    <w:abstractNumId w:val="15"/>
  </w:num>
  <w:num w:numId="13">
    <w:abstractNumId w:val="14"/>
  </w:num>
  <w:num w:numId="14">
    <w:abstractNumId w:val="18"/>
  </w:num>
  <w:num w:numId="15">
    <w:abstractNumId w:val="13"/>
  </w:num>
  <w:num w:numId="16">
    <w:abstractNumId w:val="12"/>
  </w:num>
  <w:num w:numId="17">
    <w:abstractNumId w:val="11"/>
  </w:num>
  <w:num w:numId="18">
    <w:abstractNumId w:val="10"/>
  </w:num>
  <w:num w:numId="19">
    <w:abstractNumId w:val="3"/>
  </w:num>
  <w:num w:numId="20">
    <w:abstractNumId w:val="25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9"/>
  </w:num>
  <w:num w:numId="23">
    <w:abstractNumId w:val="7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2"/>
  </w:num>
  <w:num w:numId="26">
    <w:abstractNumId w:val="23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26"/>
  </w:num>
  <w:num w:numId="29">
    <w:abstractNumId w:val="28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20"/>
  </w:num>
  <w:num w:numId="32">
    <w:abstractNumId w:val="2"/>
  </w:num>
  <w:num w:numId="33">
    <w:abstractNumId w:val="21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D369C"/>
    <w:rsid w:val="004E29B3"/>
    <w:rsid w:val="00590D07"/>
    <w:rsid w:val="00784D58"/>
    <w:rsid w:val="008D6863"/>
    <w:rsid w:val="009974CF"/>
    <w:rsid w:val="00A01CF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E56D69-4D30-4A99-8073-E0F56DCB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5D7"/>
  </w:style>
  <w:style w:type="paragraph" w:styleId="Heading1">
    <w:name w:val="heading 1"/>
    <w:basedOn w:val="Normal"/>
    <w:next w:val="BodyText"/>
    <w:uiPriority w:val="9"/>
    <w:qFormat/>
    <w:rsid w:val="00B2582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bCs/>
      <w:szCs w:val="26"/>
    </w:rPr>
  </w:style>
  <w:style w:type="paragraph" w:styleId="Heading2">
    <w:name w:val="heading 2"/>
    <w:basedOn w:val="Normal"/>
    <w:next w:val="BodyText"/>
    <w:uiPriority w:val="9"/>
    <w:unhideWhenUsed/>
    <w:qFormat/>
    <w:rsid w:val="00933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AF5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C14D1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0A0F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740A0F"/>
    <w:pPr>
      <w:spacing w:befor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B25820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67D2E"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76401A"/>
    <w:rPr>
      <w:color w:val="0000EE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1C0597"/>
    <w:pPr>
      <w:spacing w:line="259" w:lineRule="auto"/>
      <w:outlineLvl w:val="9"/>
    </w:pPr>
    <w:rPr>
      <w:bCs w:val="0"/>
    </w:rPr>
  </w:style>
  <w:style w:type="character" w:customStyle="1" w:styleId="RefReq">
    <w:name w:val="RefReq"/>
    <w:basedOn w:val="CaptionChar"/>
    <w:rsid w:val="00441C0D"/>
    <w:rPr>
      <w:rFonts w:ascii="Lucida Console" w:hAnsi="Lucida Console"/>
      <w:b w:val="0"/>
      <w:i/>
      <w:caps w:val="0"/>
      <w:smallCaps/>
      <w:color w:val="FF0000"/>
      <w:u w:val="single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40A0F"/>
    <w:rPr>
      <w:rFonts w:ascii="Times New Roman" w:hAnsi="Times New Roman"/>
    </w:rPr>
  </w:style>
  <w:style w:type="character" w:customStyle="1" w:styleId="Attn">
    <w:name w:val="Attn"/>
    <w:basedOn w:val="DefaultParagraphFont"/>
    <w:uiPriority w:val="1"/>
    <w:rsid w:val="00C80E00"/>
    <w:rPr>
      <w:rFonts w:ascii="Lucida Console" w:hAnsi="Lucida Console" w:cstheme="majorBidi"/>
      <w:b w:val="0"/>
      <w:bCs/>
      <w:i/>
      <w:caps w:val="0"/>
      <w:smallCaps/>
      <w:strike w:val="0"/>
      <w:dstrike w:val="0"/>
      <w:color w:val="345A8A" w:themeColor="accent1" w:themeShade="B5"/>
      <w:sz w:val="20"/>
      <w:szCs w:val="36"/>
      <w:vertAlign w:val="baseline"/>
    </w:rPr>
  </w:style>
  <w:style w:type="character" w:customStyle="1" w:styleId="TitleChar">
    <w:name w:val="Title Char"/>
    <w:basedOn w:val="DefaultParagraphFont"/>
    <w:link w:val="Title"/>
    <w:rsid w:val="00B25820"/>
    <w:rPr>
      <w:rFonts w:ascii="Times New Roman" w:eastAsiaTheme="majorEastAsia" w:hAnsi="Times New Roman" w:cstheme="majorBidi"/>
      <w:b/>
      <w:bCs/>
      <w:szCs w:val="36"/>
    </w:rPr>
  </w:style>
  <w:style w:type="paragraph" w:styleId="TOC1">
    <w:name w:val="toc 1"/>
    <w:basedOn w:val="Normal"/>
    <w:next w:val="Normal"/>
    <w:autoRedefine/>
    <w:uiPriority w:val="39"/>
    <w:rsid w:val="001C0597"/>
    <w:pPr>
      <w:spacing w:after="100"/>
    </w:pPr>
  </w:style>
  <w:style w:type="paragraph" w:styleId="BalloonText">
    <w:name w:val="Balloon Text"/>
    <w:basedOn w:val="Normal"/>
    <w:link w:val="BalloonTextChar"/>
    <w:rsid w:val="001C05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Reviewing the NIH GWAS Catalog for candidate malignancies ready for Polygenic Risk assessment</vt:lpstr>
    </vt:vector>
  </TitlesOfParts>
  <Company>Peter MacCallum Cancer Centre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Reviewing the NIH GWAS Catalog for candidate malignancies ready for Polygenic Risk assessment</dc:title>
  <dc:creator>James Morgan1, and Paul James1</dc:creator>
  <cp:keywords/>
  <cp:lastModifiedBy>Morgan JamesA</cp:lastModifiedBy>
  <cp:revision>2</cp:revision>
  <dcterms:created xsi:type="dcterms:W3CDTF">2019-07-11T04:46:00Z</dcterms:created>
  <dcterms:modified xsi:type="dcterms:W3CDTF">2019-07-11T04:46:00Z</dcterms:modified>
</cp:coreProperties>
</file>