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39A900"/>
          <w:sz w:val="26"/>
        </w:rPr>
        <w:t>SERVICIO NACIONAL DE APRENDIZAJE — SENA</w:t>
        <w:br/>
      </w:r>
      <w:r>
        <w:rPr>
          <w:rFonts w:ascii="Arial" w:hAnsi="Arial"/>
          <w:b/>
          <w:color w:val="00324D"/>
          <w:sz w:val="22"/>
        </w:rPr>
        <w:t>REGIONAL MAGDALENA</w:t>
        <w:br/>
        <w:t>CENTRO DE LOGÍSTICA Y PROMOCIÓN ECOTURÍSTICA</w:t>
        <w:br/>
      </w:r>
    </w:p>
    <w:p>
      <w:pPr>
        <w:jc w:val="center"/>
      </w:pPr>
      <w:r>
        <w:rPr>
          <w:rFonts w:ascii="Arial" w:hAnsi="Arial"/>
          <w:color w:val="475569"/>
          <w:sz w:val="20"/>
        </w:rPr>
        <w:t>TECNÓLOGO EN ANÁLISIS Y DESARROLLO DE SOFTWARE (ADSI)</w:t>
        <w:br/>
        <w:t>FICHA DE CARACTERIZACIÓN: 3173430</w:t>
        <w:br/>
      </w:r>
    </w:p>
    <w:p/>
    <w:p/>
    <w:p>
      <w:pPr>
        <w:jc w:val="center"/>
      </w:pPr>
      <w:r>
        <w:rPr>
          <w:rFonts w:ascii="Arial" w:hAnsi="Arial"/>
          <w:b/>
          <w:color w:val="00324D"/>
          <w:sz w:val="36"/>
        </w:rPr>
        <w:t>INFORME TÉCNICO DE LA SOLUCIÓN INFORMÁTICA IMPLANTADA</w:t>
        <w:br/>
      </w:r>
      <w:r>
        <w:rPr>
          <w:rFonts w:ascii="Arial" w:hAnsi="Arial"/>
          <w:color w:val="2563EB"/>
          <w:sz w:val="24"/>
        </w:rPr>
        <w:t>Evaluación de Alternativas, Despliegue en la Nube y Local, Seguridad Informática y Bitácora de Pruebas Técnicas</w:t>
        <w:br/>
      </w:r>
    </w:p>
    <w:p>
      <w:pPr>
        <w:jc w:val="center"/>
      </w:pPr>
      <w:r>
        <w:rPr>
          <w:rFonts w:ascii="Arial" w:hAnsi="Arial"/>
          <w:b/>
          <w:color w:val="1E293B"/>
          <w:sz w:val="24"/>
        </w:rPr>
        <w:t>PROYECTO FORMATIVO: EDUNOVA</w:t>
        <w:br/>
        <w:t>(Sistema Integrado de Educación Técnica — Anteriormente SINETEC)</w:t>
        <w:br/>
      </w:r>
    </w:p>
    <w:p/>
    <w:p/>
    <w:p/>
    <w:p>
      <w:pPr>
        <w:spacing w:line="300" w:lineRule="auto"/>
        <w:jc w:val="left"/>
      </w:pPr>
      <w:r>
        <w:rPr>
          <w:rFonts w:ascii="Arial" w:hAnsi="Arial"/>
          <w:b/>
          <w:color w:val="00324D"/>
          <w:sz w:val="20"/>
        </w:rPr>
        <w:t xml:space="preserve">Resultado de Aprendizaje (RAP): </w:t>
      </w:r>
      <w:r>
        <w:rPr>
          <w:rFonts w:ascii="Arial" w:hAnsi="Arial"/>
          <w:color w:val="334155"/>
          <w:sz w:val="20"/>
        </w:rPr>
        <w:t>Elaborar informes técnicos relacionados con la solución informática implantada, de acuerdo con las propuestas de alternativas aplicadas, teniendo en cuenta las técnicas de comunicación y según normas y protocolos establecidos</w:t>
        <w:br/>
      </w:r>
      <w:r>
        <w:rPr>
          <w:rFonts w:ascii="Arial" w:hAnsi="Arial"/>
          <w:b/>
          <w:color w:val="00324D"/>
          <w:sz w:val="20"/>
        </w:rPr>
        <w:t xml:space="preserve">Aprendiz Responsable: </w:t>
      </w:r>
      <w:r>
        <w:rPr>
          <w:rFonts w:ascii="Arial" w:hAnsi="Arial"/>
          <w:color w:val="334155"/>
          <w:sz w:val="20"/>
        </w:rPr>
        <w:t>Aminta María Moguea Florez</w:t>
        <w:br/>
      </w:r>
      <w:r>
        <w:rPr>
          <w:rFonts w:ascii="Arial" w:hAnsi="Arial"/>
          <w:b/>
          <w:color w:val="00324D"/>
          <w:sz w:val="20"/>
        </w:rPr>
        <w:t xml:space="preserve">Instructor Evaluador: </w:t>
      </w:r>
      <w:r>
        <w:rPr>
          <w:rFonts w:ascii="Arial" w:hAnsi="Arial"/>
          <w:color w:val="334155"/>
          <w:sz w:val="20"/>
        </w:rPr>
        <w:t>Anybal López</w:t>
        <w:br/>
      </w:r>
      <w:r>
        <w:rPr>
          <w:rFonts w:ascii="Arial" w:hAnsi="Arial"/>
          <w:b/>
          <w:color w:val="00324D"/>
          <w:sz w:val="20"/>
        </w:rPr>
        <w:t xml:space="preserve">Estado del Sistema: </w:t>
      </w:r>
      <w:r>
        <w:rPr>
          <w:rFonts w:ascii="Arial" w:hAnsi="Arial"/>
          <w:color w:val="334155"/>
          <w:sz w:val="20"/>
        </w:rPr>
        <w:t>Implantado y Desplegado (Producción Cloud Render + Entorno Local MySQL)</w:t>
        <w:br/>
      </w:r>
      <w:r>
        <w:rPr>
          <w:rFonts w:ascii="Arial" w:hAnsi="Arial"/>
          <w:b/>
          <w:color w:val="00324D"/>
          <w:sz w:val="20"/>
        </w:rPr>
        <w:t xml:space="preserve">Fecha de Elaboración: </w:t>
      </w:r>
      <w:r>
        <w:rPr>
          <w:rFonts w:ascii="Arial" w:hAnsi="Arial"/>
          <w:color w:val="334155"/>
          <w:sz w:val="20"/>
        </w:rPr>
        <w:t>19 de octubre de 2026</w:t>
        <w:br/>
      </w:r>
      <w:r>
        <w:rPr>
          <w:rFonts w:ascii="Arial" w:hAnsi="Arial"/>
          <w:b/>
          <w:color w:val="00324D"/>
          <w:sz w:val="20"/>
        </w:rPr>
        <w:t xml:space="preserve">Ciudad y País: </w:t>
      </w:r>
      <w:r>
        <w:rPr>
          <w:rFonts w:ascii="Arial" w:hAnsi="Arial"/>
          <w:color w:val="334155"/>
          <w:sz w:val="20"/>
        </w:rPr>
        <w:t>Santa Marta, Magdalena, Colombia</w:t>
        <w:br/>
      </w:r>
    </w:p>
    <w:p>
      <w:r>
        <w:br w:type="page"/>
      </w:r>
    </w:p>
    <w:p>
      <w:r>
        <w:rPr>
          <w:rFonts w:ascii="Arial" w:hAnsi="Arial"/>
          <w:b/>
          <w:color w:val="00324D"/>
          <w:sz w:val="30"/>
        </w:rPr>
        <w:t>TABLA DE CONTENIDO</w:t>
      </w:r>
    </w:p>
    <w:tbl>
      <w:tblPr>
        <w:tblW w:type="auto" w:w="0"/>
        <w:jc w:val="center"/>
        <w:tblLayout w:type="fixed"/>
        <w:tblLook w:firstColumn="1" w:firstRow="1" w:lastColumn="0" w:lastRow="0" w:noHBand="0" w:noVBand="1" w:val="04A0"/>
        <w:tblBorders>
          <w:top w:val="single" w:sz="2" w:space="0" w:color="E2E8F0"/>
          <w:bottom w:val="single" w:sz="2" w:space="0" w:color="E2E8F0"/>
          <w:left w:val="none"/>
          <w:right w:val="none"/>
          <w:insideH w:val="single" w:sz="2" w:space="0" w:color="E2E8F0"/>
          <w:insideV w:val="none"/>
        </w:tblBorders>
      </w:tblPr>
      <w:tblGrid>
        <w:gridCol w:w="4680"/>
        <w:gridCol w:w="4680"/>
      </w:tblGrid>
      <w:tr>
        <w:tc>
          <w:tcPr>
            <w:tcW w:type="dxa" w:w="8352"/>
          </w:tcPr>
          <w:p>
            <w:pPr>
              <w:spacing w:before="20" w:after="20"/>
            </w:pPr>
            <w:r>
              <w:rPr>
                <w:rFonts w:ascii="Arial" w:hAnsi="Arial"/>
                <w:b/>
                <w:color w:val="00324D"/>
                <w:sz w:val="18"/>
              </w:rPr>
              <w:t>1. INTRODUCCIÓN</w:t>
            </w:r>
          </w:p>
        </w:tc>
        <w:tc>
          <w:tcPr>
            <w:tcW w:type="dxa" w:w="1008"/>
          </w:tcPr>
          <w:p>
            <w:pPr>
              <w:spacing w:before="20" w:after="20"/>
              <w:jc w:val="right"/>
            </w:pPr>
            <w:r>
              <w:rPr>
                <w:rFonts w:ascii="Arial" w:hAnsi="Arial"/>
                <w:color w:val="64748B"/>
                <w:sz w:val="18"/>
              </w:rPr>
              <w:t>3</w:t>
            </w:r>
          </w:p>
        </w:tc>
      </w:tr>
      <w:tr>
        <w:tc>
          <w:tcPr>
            <w:tcW w:type="dxa" w:w="8352"/>
          </w:tcPr>
          <w:p>
            <w:pPr>
              <w:spacing w:before="20" w:after="20"/>
            </w:pPr>
            <w:r>
              <w:rPr>
                <w:rFonts w:ascii="Arial" w:hAnsi="Arial"/>
                <w:b/>
                <w:color w:val="00324D"/>
                <w:sz w:val="18"/>
              </w:rPr>
              <w:t>2. OBJETIVOS DEL INFORME TÉCNICO</w:t>
            </w:r>
          </w:p>
        </w:tc>
        <w:tc>
          <w:tcPr>
            <w:tcW w:type="dxa" w:w="1008"/>
          </w:tcPr>
          <w:p>
            <w:pPr>
              <w:spacing w:before="20" w:after="20"/>
              <w:jc w:val="right"/>
            </w:pPr>
            <w:r>
              <w:rPr>
                <w:rFonts w:ascii="Arial" w:hAnsi="Arial"/>
                <w:color w:val="64748B"/>
                <w:sz w:val="18"/>
              </w:rPr>
              <w:t>4</w:t>
            </w:r>
          </w:p>
        </w:tc>
      </w:tr>
      <w:tr>
        <w:tc>
          <w:tcPr>
            <w:tcW w:type="dxa" w:w="8352"/>
          </w:tcPr>
          <w:p>
            <w:pPr>
              <w:spacing w:before="20" w:after="20"/>
            </w:pPr>
            <w:r>
              <w:rPr>
                <w:rFonts w:ascii="Arial" w:hAnsi="Arial"/>
                <w:color w:val="475569"/>
                <w:sz w:val="18"/>
              </w:rPr>
              <w:t xml:space="preserve">   2.1 Objetivo General</w:t>
            </w:r>
          </w:p>
        </w:tc>
        <w:tc>
          <w:tcPr>
            <w:tcW w:type="dxa" w:w="1008"/>
          </w:tcPr>
          <w:p>
            <w:pPr>
              <w:spacing w:before="20" w:after="20"/>
              <w:jc w:val="right"/>
            </w:pPr>
            <w:r>
              <w:rPr>
                <w:rFonts w:ascii="Arial" w:hAnsi="Arial"/>
                <w:color w:val="64748B"/>
                <w:sz w:val="18"/>
              </w:rPr>
              <w:t>4</w:t>
            </w:r>
          </w:p>
        </w:tc>
      </w:tr>
      <w:tr>
        <w:tc>
          <w:tcPr>
            <w:tcW w:type="dxa" w:w="8352"/>
          </w:tcPr>
          <w:p>
            <w:pPr>
              <w:spacing w:before="20" w:after="20"/>
            </w:pPr>
            <w:r>
              <w:rPr>
                <w:rFonts w:ascii="Arial" w:hAnsi="Arial"/>
                <w:color w:val="475569"/>
                <w:sz w:val="18"/>
              </w:rPr>
              <w:t xml:space="preserve">   2.2 Objetivos Específicos</w:t>
            </w:r>
          </w:p>
        </w:tc>
        <w:tc>
          <w:tcPr>
            <w:tcW w:type="dxa" w:w="1008"/>
          </w:tcPr>
          <w:p>
            <w:pPr>
              <w:spacing w:before="20" w:after="20"/>
              <w:jc w:val="right"/>
            </w:pPr>
            <w:r>
              <w:rPr>
                <w:rFonts w:ascii="Arial" w:hAnsi="Arial"/>
                <w:color w:val="64748B"/>
                <w:sz w:val="18"/>
              </w:rPr>
              <w:t>4</w:t>
            </w:r>
          </w:p>
        </w:tc>
      </w:tr>
      <w:tr>
        <w:tc>
          <w:tcPr>
            <w:tcW w:type="dxa" w:w="8352"/>
          </w:tcPr>
          <w:p>
            <w:pPr>
              <w:spacing w:before="20" w:after="20"/>
            </w:pPr>
            <w:r>
              <w:rPr>
                <w:rFonts w:ascii="Arial" w:hAnsi="Arial"/>
                <w:b/>
                <w:color w:val="00324D"/>
                <w:sz w:val="18"/>
              </w:rPr>
              <w:t>3. ALCANCE DEL INFORME TÉCNICO</w:t>
            </w:r>
          </w:p>
        </w:tc>
        <w:tc>
          <w:tcPr>
            <w:tcW w:type="dxa" w:w="1008"/>
          </w:tcPr>
          <w:p>
            <w:pPr>
              <w:spacing w:before="20" w:after="20"/>
              <w:jc w:val="right"/>
            </w:pPr>
            <w:r>
              <w:rPr>
                <w:rFonts w:ascii="Arial" w:hAnsi="Arial"/>
                <w:color w:val="64748B"/>
                <w:sz w:val="18"/>
              </w:rPr>
              <w:t>5</w:t>
            </w:r>
          </w:p>
        </w:tc>
      </w:tr>
      <w:tr>
        <w:tc>
          <w:tcPr>
            <w:tcW w:type="dxa" w:w="8352"/>
          </w:tcPr>
          <w:p>
            <w:pPr>
              <w:spacing w:before="20" w:after="20"/>
            </w:pPr>
            <w:r>
              <w:rPr>
                <w:rFonts w:ascii="Arial" w:hAnsi="Arial"/>
                <w:b/>
                <w:color w:val="00324D"/>
                <w:sz w:val="18"/>
              </w:rPr>
              <w:t>4. DESCRIPCIÓN INTEGRAL DEL SISTEMA EDUNOVA</w:t>
            </w:r>
          </w:p>
        </w:tc>
        <w:tc>
          <w:tcPr>
            <w:tcW w:type="dxa" w:w="1008"/>
          </w:tcPr>
          <w:p>
            <w:pPr>
              <w:spacing w:before="20" w:after="20"/>
              <w:jc w:val="right"/>
            </w:pPr>
            <w:r>
              <w:rPr>
                <w:rFonts w:ascii="Arial" w:hAnsi="Arial"/>
                <w:color w:val="64748B"/>
                <w:sz w:val="18"/>
              </w:rPr>
              <w:t>6</w:t>
            </w:r>
          </w:p>
        </w:tc>
      </w:tr>
      <w:tr>
        <w:tc>
          <w:tcPr>
            <w:tcW w:type="dxa" w:w="8352"/>
          </w:tcPr>
          <w:p>
            <w:pPr>
              <w:spacing w:before="20" w:after="20"/>
            </w:pPr>
            <w:r>
              <w:rPr>
                <w:rFonts w:ascii="Arial" w:hAnsi="Arial"/>
                <w:color w:val="475569"/>
                <w:sz w:val="18"/>
              </w:rPr>
              <w:t xml:space="preserve">   4.1 Origen, Evolución e Identidad Institucional</w:t>
            </w:r>
          </w:p>
        </w:tc>
        <w:tc>
          <w:tcPr>
            <w:tcW w:type="dxa" w:w="1008"/>
          </w:tcPr>
          <w:p>
            <w:pPr>
              <w:spacing w:before="20" w:after="20"/>
              <w:jc w:val="right"/>
            </w:pPr>
            <w:r>
              <w:rPr>
                <w:rFonts w:ascii="Arial" w:hAnsi="Arial"/>
                <w:color w:val="64748B"/>
                <w:sz w:val="18"/>
              </w:rPr>
              <w:t>6</w:t>
            </w:r>
          </w:p>
        </w:tc>
      </w:tr>
      <w:tr>
        <w:tc>
          <w:tcPr>
            <w:tcW w:type="dxa" w:w="8352"/>
          </w:tcPr>
          <w:p>
            <w:pPr>
              <w:spacing w:before="20" w:after="20"/>
            </w:pPr>
            <w:r>
              <w:rPr>
                <w:rFonts w:ascii="Arial" w:hAnsi="Arial"/>
                <w:color w:val="475569"/>
                <w:sz w:val="18"/>
              </w:rPr>
              <w:t xml:space="preserve">   4.2 Módulos Funcionales Implementados</w:t>
            </w:r>
          </w:p>
        </w:tc>
        <w:tc>
          <w:tcPr>
            <w:tcW w:type="dxa" w:w="1008"/>
          </w:tcPr>
          <w:p>
            <w:pPr>
              <w:spacing w:before="20" w:after="20"/>
              <w:jc w:val="right"/>
            </w:pPr>
            <w:r>
              <w:rPr>
                <w:rFonts w:ascii="Arial" w:hAnsi="Arial"/>
                <w:color w:val="64748B"/>
                <w:sz w:val="18"/>
              </w:rPr>
              <w:t>6</w:t>
            </w:r>
          </w:p>
        </w:tc>
      </w:tr>
      <w:tr>
        <w:tc>
          <w:tcPr>
            <w:tcW w:type="dxa" w:w="8352"/>
          </w:tcPr>
          <w:p>
            <w:pPr>
              <w:spacing w:before="20" w:after="20"/>
            </w:pPr>
            <w:r>
              <w:rPr>
                <w:rFonts w:ascii="Arial" w:hAnsi="Arial"/>
                <w:b/>
                <w:color w:val="00324D"/>
                <w:sz w:val="18"/>
              </w:rPr>
              <w:t>5. ARQUITECTURA Y COMPONENTES TECNOLÓGICOS</w:t>
            </w:r>
          </w:p>
        </w:tc>
        <w:tc>
          <w:tcPr>
            <w:tcW w:type="dxa" w:w="1008"/>
          </w:tcPr>
          <w:p>
            <w:pPr>
              <w:spacing w:before="20" w:after="20"/>
              <w:jc w:val="right"/>
            </w:pPr>
            <w:r>
              <w:rPr>
                <w:rFonts w:ascii="Arial" w:hAnsi="Arial"/>
                <w:color w:val="64748B"/>
                <w:sz w:val="18"/>
              </w:rPr>
              <w:t>8</w:t>
            </w:r>
          </w:p>
        </w:tc>
      </w:tr>
      <w:tr>
        <w:tc>
          <w:tcPr>
            <w:tcW w:type="dxa" w:w="8352"/>
          </w:tcPr>
          <w:p>
            <w:pPr>
              <w:spacing w:before="20" w:after="20"/>
            </w:pPr>
            <w:r>
              <w:rPr>
                <w:rFonts w:ascii="Arial" w:hAnsi="Arial"/>
                <w:color w:val="475569"/>
                <w:sz w:val="18"/>
              </w:rPr>
              <w:t xml:space="preserve">   5.1 Patrón Arquitectónico MVT (Model-View-Template)</w:t>
            </w:r>
          </w:p>
        </w:tc>
        <w:tc>
          <w:tcPr>
            <w:tcW w:type="dxa" w:w="1008"/>
          </w:tcPr>
          <w:p>
            <w:pPr>
              <w:spacing w:before="20" w:after="20"/>
              <w:jc w:val="right"/>
            </w:pPr>
            <w:r>
              <w:rPr>
                <w:rFonts w:ascii="Arial" w:hAnsi="Arial"/>
                <w:color w:val="64748B"/>
                <w:sz w:val="18"/>
              </w:rPr>
              <w:t>8</w:t>
            </w:r>
          </w:p>
        </w:tc>
      </w:tr>
      <w:tr>
        <w:tc>
          <w:tcPr>
            <w:tcW w:type="dxa" w:w="8352"/>
          </w:tcPr>
          <w:p>
            <w:pPr>
              <w:spacing w:before="20" w:after="20"/>
            </w:pPr>
            <w:r>
              <w:rPr>
                <w:rFonts w:ascii="Arial" w:hAnsi="Arial"/>
                <w:color w:val="475569"/>
                <w:sz w:val="18"/>
              </w:rPr>
              <w:t xml:space="preserve">   5.2 Desacoplamiento Modular en Aplicaciones Django</w:t>
            </w:r>
          </w:p>
        </w:tc>
        <w:tc>
          <w:tcPr>
            <w:tcW w:type="dxa" w:w="1008"/>
          </w:tcPr>
          <w:p>
            <w:pPr>
              <w:spacing w:before="20" w:after="20"/>
              <w:jc w:val="right"/>
            </w:pPr>
            <w:r>
              <w:rPr>
                <w:rFonts w:ascii="Arial" w:hAnsi="Arial"/>
                <w:color w:val="64748B"/>
                <w:sz w:val="18"/>
              </w:rPr>
              <w:t>8</w:t>
            </w:r>
          </w:p>
        </w:tc>
      </w:tr>
      <w:tr>
        <w:tc>
          <w:tcPr>
            <w:tcW w:type="dxa" w:w="8352"/>
          </w:tcPr>
          <w:p>
            <w:pPr>
              <w:spacing w:before="20" w:after="20"/>
            </w:pPr>
            <w:r>
              <w:rPr>
                <w:rFonts w:ascii="Arial" w:hAnsi="Arial"/>
                <w:color w:val="475569"/>
                <w:sz w:val="18"/>
              </w:rPr>
              <w:t xml:space="preserve">   5.3 Diagrama Estructural de Arquitectura y Flujo de Datos</w:t>
            </w:r>
          </w:p>
        </w:tc>
        <w:tc>
          <w:tcPr>
            <w:tcW w:type="dxa" w:w="1008"/>
          </w:tcPr>
          <w:p>
            <w:pPr>
              <w:spacing w:before="20" w:after="20"/>
              <w:jc w:val="right"/>
            </w:pPr>
            <w:r>
              <w:rPr>
                <w:rFonts w:ascii="Arial" w:hAnsi="Arial"/>
                <w:color w:val="64748B"/>
                <w:sz w:val="18"/>
              </w:rPr>
              <w:t>9</w:t>
            </w:r>
          </w:p>
        </w:tc>
      </w:tr>
      <w:tr>
        <w:tc>
          <w:tcPr>
            <w:tcW w:type="dxa" w:w="8352"/>
          </w:tcPr>
          <w:p>
            <w:pPr>
              <w:spacing w:before="20" w:after="20"/>
            </w:pPr>
            <w:r>
              <w:rPr>
                <w:rFonts w:ascii="Arial" w:hAnsi="Arial"/>
                <w:b/>
                <w:color w:val="00324D"/>
                <w:sz w:val="18"/>
              </w:rPr>
              <w:t>6. DESPLIEGUE Y CONFIGURACIÓN DE LA SOLUCIÓN IMPLANTADA</w:t>
            </w:r>
          </w:p>
        </w:tc>
        <w:tc>
          <w:tcPr>
            <w:tcW w:type="dxa" w:w="1008"/>
          </w:tcPr>
          <w:p>
            <w:pPr>
              <w:spacing w:before="20" w:after="20"/>
              <w:jc w:val="right"/>
            </w:pPr>
            <w:r>
              <w:rPr>
                <w:rFonts w:ascii="Arial" w:hAnsi="Arial"/>
                <w:color w:val="64748B"/>
                <w:sz w:val="18"/>
              </w:rPr>
              <w:t>11</w:t>
            </w:r>
          </w:p>
        </w:tc>
      </w:tr>
      <w:tr>
        <w:tc>
          <w:tcPr>
            <w:tcW w:type="dxa" w:w="8352"/>
          </w:tcPr>
          <w:p>
            <w:pPr>
              <w:spacing w:before="20" w:after="20"/>
            </w:pPr>
            <w:r>
              <w:rPr>
                <w:rFonts w:ascii="Arial" w:hAnsi="Arial"/>
                <w:color w:val="475569"/>
                <w:sz w:val="18"/>
              </w:rPr>
              <w:t xml:space="preserve">   6.1 Entorno Local de Desarrollo y Verificación (MySQL)</w:t>
            </w:r>
          </w:p>
        </w:tc>
        <w:tc>
          <w:tcPr>
            <w:tcW w:type="dxa" w:w="1008"/>
          </w:tcPr>
          <w:p>
            <w:pPr>
              <w:spacing w:before="20" w:after="20"/>
              <w:jc w:val="right"/>
            </w:pPr>
            <w:r>
              <w:rPr>
                <w:rFonts w:ascii="Arial" w:hAnsi="Arial"/>
                <w:color w:val="64748B"/>
                <w:sz w:val="18"/>
              </w:rPr>
              <w:t>11</w:t>
            </w:r>
          </w:p>
        </w:tc>
      </w:tr>
      <w:tr>
        <w:tc>
          <w:tcPr>
            <w:tcW w:type="dxa" w:w="8352"/>
          </w:tcPr>
          <w:p>
            <w:pPr>
              <w:spacing w:before="20" w:after="20"/>
            </w:pPr>
            <w:r>
              <w:rPr>
                <w:rFonts w:ascii="Arial" w:hAnsi="Arial"/>
                <w:color w:val="475569"/>
                <w:sz w:val="18"/>
              </w:rPr>
              <w:t xml:space="preserve">   6.2 Entorno de Producción en la Nube (PaaS Render)</w:t>
            </w:r>
          </w:p>
        </w:tc>
        <w:tc>
          <w:tcPr>
            <w:tcW w:type="dxa" w:w="1008"/>
          </w:tcPr>
          <w:p>
            <w:pPr>
              <w:spacing w:before="20" w:after="20"/>
              <w:jc w:val="right"/>
            </w:pPr>
            <w:r>
              <w:rPr>
                <w:rFonts w:ascii="Arial" w:hAnsi="Arial"/>
                <w:color w:val="64748B"/>
                <w:sz w:val="18"/>
              </w:rPr>
              <w:t>12</w:t>
            </w:r>
          </w:p>
        </w:tc>
      </w:tr>
      <w:tr>
        <w:tc>
          <w:tcPr>
            <w:tcW w:type="dxa" w:w="8352"/>
          </w:tcPr>
          <w:p>
            <w:pPr>
              <w:spacing w:before="20" w:after="20"/>
            </w:pPr>
            <w:r>
              <w:rPr>
                <w:rFonts w:ascii="Arial" w:hAnsi="Arial"/>
                <w:color w:val="475569"/>
                <w:sz w:val="18"/>
              </w:rPr>
              <w:t xml:space="preserve">   6.3 Gestión de Variables de Entorno y Secretos (.env)</w:t>
            </w:r>
          </w:p>
        </w:tc>
        <w:tc>
          <w:tcPr>
            <w:tcW w:type="dxa" w:w="1008"/>
          </w:tcPr>
          <w:p>
            <w:pPr>
              <w:spacing w:before="20" w:after="20"/>
              <w:jc w:val="right"/>
            </w:pPr>
            <w:r>
              <w:rPr>
                <w:rFonts w:ascii="Arial" w:hAnsi="Arial"/>
                <w:color w:val="64748B"/>
                <w:sz w:val="18"/>
              </w:rPr>
              <w:t>13</w:t>
            </w:r>
          </w:p>
        </w:tc>
      </w:tr>
      <w:tr>
        <w:tc>
          <w:tcPr>
            <w:tcW w:type="dxa" w:w="8352"/>
          </w:tcPr>
          <w:p>
            <w:pPr>
              <w:spacing w:before="20" w:after="20"/>
            </w:pPr>
            <w:r>
              <w:rPr>
                <w:rFonts w:ascii="Arial" w:hAnsi="Arial"/>
                <w:color w:val="475569"/>
                <w:sz w:val="18"/>
              </w:rPr>
              <w:t xml:space="preserve">   6.4 Pipeline de Construcción y Despliegue Automatizado (build.sh)</w:t>
            </w:r>
          </w:p>
        </w:tc>
        <w:tc>
          <w:tcPr>
            <w:tcW w:type="dxa" w:w="1008"/>
          </w:tcPr>
          <w:p>
            <w:pPr>
              <w:spacing w:before="20" w:after="20"/>
              <w:jc w:val="right"/>
            </w:pPr>
            <w:r>
              <w:rPr>
                <w:rFonts w:ascii="Arial" w:hAnsi="Arial"/>
                <w:color w:val="64748B"/>
                <w:sz w:val="18"/>
              </w:rPr>
              <w:t>14</w:t>
            </w:r>
          </w:p>
        </w:tc>
      </w:tr>
      <w:tr>
        <w:tc>
          <w:tcPr>
            <w:tcW w:type="dxa" w:w="8352"/>
          </w:tcPr>
          <w:p>
            <w:pPr>
              <w:spacing w:before="20" w:after="20"/>
            </w:pPr>
            <w:r>
              <w:rPr>
                <w:rFonts w:ascii="Arial" w:hAnsi="Arial"/>
                <w:b/>
                <w:color w:val="00324D"/>
                <w:sz w:val="18"/>
              </w:rPr>
              <w:t>7. EVALUACIÓN Y COMPARACIÓN DE ALTERNATIVAS TECNOLÓGICAS</w:t>
            </w:r>
          </w:p>
        </w:tc>
        <w:tc>
          <w:tcPr>
            <w:tcW w:type="dxa" w:w="1008"/>
          </w:tcPr>
          <w:p>
            <w:pPr>
              <w:spacing w:before="20" w:after="20"/>
              <w:jc w:val="right"/>
            </w:pPr>
            <w:r>
              <w:rPr>
                <w:rFonts w:ascii="Arial" w:hAnsi="Arial"/>
                <w:color w:val="64748B"/>
                <w:sz w:val="18"/>
              </w:rPr>
              <w:t>15</w:t>
            </w:r>
          </w:p>
        </w:tc>
      </w:tr>
      <w:tr>
        <w:tc>
          <w:tcPr>
            <w:tcW w:type="dxa" w:w="8352"/>
          </w:tcPr>
          <w:p>
            <w:pPr>
              <w:spacing w:before="20" w:after="20"/>
            </w:pPr>
            <w:r>
              <w:rPr>
                <w:rFonts w:ascii="Arial" w:hAnsi="Arial"/>
                <w:color w:val="475569"/>
                <w:sz w:val="18"/>
              </w:rPr>
              <w:t xml:space="preserve">   7.1 Alternativa A: Servidor Físico On-Premise vs Infraestructura Cloud PaaS</w:t>
            </w:r>
          </w:p>
        </w:tc>
        <w:tc>
          <w:tcPr>
            <w:tcW w:type="dxa" w:w="1008"/>
          </w:tcPr>
          <w:p>
            <w:pPr>
              <w:spacing w:before="20" w:after="20"/>
              <w:jc w:val="right"/>
            </w:pPr>
            <w:r>
              <w:rPr>
                <w:rFonts w:ascii="Arial" w:hAnsi="Arial"/>
                <w:color w:val="64748B"/>
                <w:sz w:val="18"/>
              </w:rPr>
              <w:t>15</w:t>
            </w:r>
          </w:p>
        </w:tc>
      </w:tr>
      <w:tr>
        <w:tc>
          <w:tcPr>
            <w:tcW w:type="dxa" w:w="8352"/>
          </w:tcPr>
          <w:p>
            <w:pPr>
              <w:spacing w:before="20" w:after="20"/>
            </w:pPr>
            <w:r>
              <w:rPr>
                <w:rFonts w:ascii="Arial" w:hAnsi="Arial"/>
                <w:color w:val="475569"/>
                <w:sz w:val="18"/>
              </w:rPr>
              <w:t xml:space="preserve">   7.2 Alternativa B: Motor MySQL Local vs PostgreSQL vs SQLite</w:t>
            </w:r>
          </w:p>
        </w:tc>
        <w:tc>
          <w:tcPr>
            <w:tcW w:type="dxa" w:w="1008"/>
          </w:tcPr>
          <w:p>
            <w:pPr>
              <w:spacing w:before="20" w:after="20"/>
              <w:jc w:val="right"/>
            </w:pPr>
            <w:r>
              <w:rPr>
                <w:rFonts w:ascii="Arial" w:hAnsi="Arial"/>
                <w:color w:val="64748B"/>
                <w:sz w:val="18"/>
              </w:rPr>
              <w:t>16</w:t>
            </w:r>
          </w:p>
        </w:tc>
      </w:tr>
      <w:tr>
        <w:tc>
          <w:tcPr>
            <w:tcW w:type="dxa" w:w="8352"/>
          </w:tcPr>
          <w:p>
            <w:pPr>
              <w:spacing w:before="20" w:after="20"/>
            </w:pPr>
            <w:r>
              <w:rPr>
                <w:rFonts w:ascii="Arial" w:hAnsi="Arial"/>
                <w:color w:val="475569"/>
                <w:sz w:val="18"/>
              </w:rPr>
              <w:t xml:space="preserve">   7.3 Alternativa C: Despliegue PaaS vs VPS Tradicional Linux (Nginx/Gunicorn)</w:t>
            </w:r>
          </w:p>
        </w:tc>
        <w:tc>
          <w:tcPr>
            <w:tcW w:type="dxa" w:w="1008"/>
          </w:tcPr>
          <w:p>
            <w:pPr>
              <w:spacing w:before="20" w:after="20"/>
              <w:jc w:val="right"/>
            </w:pPr>
            <w:r>
              <w:rPr>
                <w:rFonts w:ascii="Arial" w:hAnsi="Arial"/>
                <w:color w:val="64748B"/>
                <w:sz w:val="18"/>
              </w:rPr>
              <w:t>17</w:t>
            </w:r>
          </w:p>
        </w:tc>
      </w:tr>
      <w:tr>
        <w:tc>
          <w:tcPr>
            <w:tcW w:type="dxa" w:w="8352"/>
          </w:tcPr>
          <w:p>
            <w:pPr>
              <w:spacing w:before="20" w:after="20"/>
            </w:pPr>
            <w:r>
              <w:rPr>
                <w:rFonts w:ascii="Arial" w:hAnsi="Arial"/>
                <w:color w:val="475569"/>
                <w:sz w:val="18"/>
              </w:rPr>
              <w:t xml:space="preserve">   7.4 Matriz Técnica Comparativa de Alternativas</w:t>
            </w:r>
          </w:p>
        </w:tc>
        <w:tc>
          <w:tcPr>
            <w:tcW w:type="dxa" w:w="1008"/>
          </w:tcPr>
          <w:p>
            <w:pPr>
              <w:spacing w:before="20" w:after="20"/>
              <w:jc w:val="right"/>
            </w:pPr>
            <w:r>
              <w:rPr>
                <w:rFonts w:ascii="Arial" w:hAnsi="Arial"/>
                <w:color w:val="64748B"/>
                <w:sz w:val="18"/>
              </w:rPr>
              <w:t>18</w:t>
            </w:r>
          </w:p>
        </w:tc>
      </w:tr>
      <w:tr>
        <w:tc>
          <w:tcPr>
            <w:tcW w:type="dxa" w:w="8352"/>
          </w:tcPr>
          <w:p>
            <w:pPr>
              <w:spacing w:before="20" w:after="20"/>
            </w:pPr>
            <w:r>
              <w:rPr>
                <w:rFonts w:ascii="Arial" w:hAnsi="Arial"/>
                <w:b/>
                <w:color w:val="00324D"/>
                <w:sz w:val="18"/>
              </w:rPr>
              <w:t>8. JUSTIFICACIÓN DE LA SOLUCIÓN TECNOLÓGICA APLICADA</w:t>
            </w:r>
          </w:p>
        </w:tc>
        <w:tc>
          <w:tcPr>
            <w:tcW w:type="dxa" w:w="1008"/>
          </w:tcPr>
          <w:p>
            <w:pPr>
              <w:spacing w:before="20" w:after="20"/>
              <w:jc w:val="right"/>
            </w:pPr>
            <w:r>
              <w:rPr>
                <w:rFonts w:ascii="Arial" w:hAnsi="Arial"/>
                <w:color w:val="64748B"/>
                <w:sz w:val="18"/>
              </w:rPr>
              <w:t>19</w:t>
            </w:r>
          </w:p>
        </w:tc>
      </w:tr>
      <w:tr>
        <w:tc>
          <w:tcPr>
            <w:tcW w:type="dxa" w:w="8352"/>
          </w:tcPr>
          <w:p>
            <w:pPr>
              <w:spacing w:before="20" w:after="20"/>
            </w:pPr>
            <w:r>
              <w:rPr>
                <w:rFonts w:ascii="Arial" w:hAnsi="Arial"/>
                <w:b/>
                <w:color w:val="00324D"/>
                <w:sz w:val="18"/>
              </w:rPr>
              <w:t>9. SEGURIDAD INFORMÁTICA, CONTROL DE ACCESOS Y HARDENING</w:t>
            </w:r>
          </w:p>
        </w:tc>
        <w:tc>
          <w:tcPr>
            <w:tcW w:type="dxa" w:w="1008"/>
          </w:tcPr>
          <w:p>
            <w:pPr>
              <w:spacing w:before="20" w:after="20"/>
              <w:jc w:val="right"/>
            </w:pPr>
            <w:r>
              <w:rPr>
                <w:rFonts w:ascii="Arial" w:hAnsi="Arial"/>
                <w:color w:val="64748B"/>
                <w:sz w:val="18"/>
              </w:rPr>
              <w:t>20</w:t>
            </w:r>
          </w:p>
        </w:tc>
      </w:tr>
      <w:tr>
        <w:tc>
          <w:tcPr>
            <w:tcW w:type="dxa" w:w="8352"/>
          </w:tcPr>
          <w:p>
            <w:pPr>
              <w:spacing w:before="20" w:after="20"/>
            </w:pPr>
            <w:r>
              <w:rPr>
                <w:rFonts w:ascii="Arial" w:hAnsi="Arial"/>
                <w:color w:val="475569"/>
                <w:sz w:val="18"/>
              </w:rPr>
              <w:t xml:space="preserve">   9.1 Modelo de Control de Acceso Basado en Roles (RBAC)</w:t>
            </w:r>
          </w:p>
        </w:tc>
        <w:tc>
          <w:tcPr>
            <w:tcW w:type="dxa" w:w="1008"/>
          </w:tcPr>
          <w:p>
            <w:pPr>
              <w:spacing w:before="20" w:after="20"/>
              <w:jc w:val="right"/>
            </w:pPr>
            <w:r>
              <w:rPr>
                <w:rFonts w:ascii="Arial" w:hAnsi="Arial"/>
                <w:color w:val="64748B"/>
                <w:sz w:val="18"/>
              </w:rPr>
              <w:t>20</w:t>
            </w:r>
          </w:p>
        </w:tc>
      </w:tr>
      <w:tr>
        <w:tc>
          <w:tcPr>
            <w:tcW w:type="dxa" w:w="8352"/>
          </w:tcPr>
          <w:p>
            <w:pPr>
              <w:spacing w:before="20" w:after="20"/>
            </w:pPr>
            <w:r>
              <w:rPr>
                <w:rFonts w:ascii="Arial" w:hAnsi="Arial"/>
                <w:color w:val="475569"/>
                <w:sz w:val="18"/>
              </w:rPr>
              <w:t xml:space="preserve">   9.2 Medidas de Seguridad Implementadas y Comprobadas</w:t>
            </w:r>
          </w:p>
        </w:tc>
        <w:tc>
          <w:tcPr>
            <w:tcW w:type="dxa" w:w="1008"/>
          </w:tcPr>
          <w:p>
            <w:pPr>
              <w:spacing w:before="20" w:after="20"/>
              <w:jc w:val="right"/>
            </w:pPr>
            <w:r>
              <w:rPr>
                <w:rFonts w:ascii="Arial" w:hAnsi="Arial"/>
                <w:color w:val="64748B"/>
                <w:sz w:val="18"/>
              </w:rPr>
              <w:t>21</w:t>
            </w:r>
          </w:p>
        </w:tc>
      </w:tr>
      <w:tr>
        <w:tc>
          <w:tcPr>
            <w:tcW w:type="dxa" w:w="8352"/>
          </w:tcPr>
          <w:p>
            <w:pPr>
              <w:spacing w:before="20" w:after="20"/>
            </w:pPr>
            <w:r>
              <w:rPr>
                <w:rFonts w:ascii="Arial" w:hAnsi="Arial"/>
                <w:color w:val="475569"/>
                <w:sz w:val="18"/>
              </w:rPr>
              <w:t xml:space="preserve">   9.3 Carnetización Inteligente con QR Token y Rotación Criptográfica</w:t>
            </w:r>
          </w:p>
        </w:tc>
        <w:tc>
          <w:tcPr>
            <w:tcW w:type="dxa" w:w="1008"/>
          </w:tcPr>
          <w:p>
            <w:pPr>
              <w:spacing w:before="20" w:after="20"/>
              <w:jc w:val="right"/>
            </w:pPr>
            <w:r>
              <w:rPr>
                <w:rFonts w:ascii="Arial" w:hAnsi="Arial"/>
                <w:color w:val="64748B"/>
                <w:sz w:val="18"/>
              </w:rPr>
              <w:t>22</w:t>
            </w:r>
          </w:p>
        </w:tc>
      </w:tr>
      <w:tr>
        <w:tc>
          <w:tcPr>
            <w:tcW w:type="dxa" w:w="8352"/>
          </w:tcPr>
          <w:p>
            <w:pPr>
              <w:spacing w:before="20" w:after="20"/>
            </w:pPr>
            <w:r>
              <w:rPr>
                <w:rFonts w:ascii="Arial" w:hAnsi="Arial"/>
                <w:color w:val="475569"/>
                <w:sz w:val="18"/>
              </w:rPr>
              <w:t xml:space="preserve">   9.4 Medidas de Seguridad Pendientes y Brechas Identificadas</w:t>
            </w:r>
          </w:p>
        </w:tc>
        <w:tc>
          <w:tcPr>
            <w:tcW w:type="dxa" w:w="1008"/>
          </w:tcPr>
          <w:p>
            <w:pPr>
              <w:spacing w:before="20" w:after="20"/>
              <w:jc w:val="right"/>
            </w:pPr>
            <w:r>
              <w:rPr>
                <w:rFonts w:ascii="Arial" w:hAnsi="Arial"/>
                <w:color w:val="64748B"/>
                <w:sz w:val="18"/>
              </w:rPr>
              <w:t>23</w:t>
            </w:r>
          </w:p>
        </w:tc>
      </w:tr>
      <w:tr>
        <w:tc>
          <w:tcPr>
            <w:tcW w:type="dxa" w:w="8352"/>
          </w:tcPr>
          <w:p>
            <w:pPr>
              <w:spacing w:before="20" w:after="20"/>
            </w:pPr>
            <w:r>
              <w:rPr>
                <w:rFonts w:ascii="Arial" w:hAnsi="Arial"/>
                <w:b/>
                <w:color w:val="00324D"/>
                <w:sz w:val="18"/>
              </w:rPr>
              <w:t>10. PLAN Y EJECUCIÓN RIGUROSA DE PRUEBAS TÉCNICAS</w:t>
            </w:r>
          </w:p>
        </w:tc>
        <w:tc>
          <w:tcPr>
            <w:tcW w:type="dxa" w:w="1008"/>
          </w:tcPr>
          <w:p>
            <w:pPr>
              <w:spacing w:before="20" w:after="20"/>
              <w:jc w:val="right"/>
            </w:pPr>
            <w:r>
              <w:rPr>
                <w:rFonts w:ascii="Arial" w:hAnsi="Arial"/>
                <w:color w:val="64748B"/>
                <w:sz w:val="18"/>
              </w:rPr>
              <w:t>24</w:t>
            </w:r>
          </w:p>
        </w:tc>
      </w:tr>
      <w:tr>
        <w:tc>
          <w:tcPr>
            <w:tcW w:type="dxa" w:w="8352"/>
          </w:tcPr>
          <w:p>
            <w:pPr>
              <w:spacing w:before="20" w:after="20"/>
            </w:pPr>
            <w:r>
              <w:rPr>
                <w:rFonts w:ascii="Arial" w:hAnsi="Arial"/>
                <w:color w:val="475569"/>
                <w:sz w:val="18"/>
              </w:rPr>
              <w:t xml:space="preserve">    10.1 Enfoque Metodológico de Pruebas (IEEE 829)</w:t>
            </w:r>
          </w:p>
        </w:tc>
        <w:tc>
          <w:tcPr>
            <w:tcW w:type="dxa" w:w="1008"/>
          </w:tcPr>
          <w:p>
            <w:pPr>
              <w:spacing w:before="20" w:after="20"/>
              <w:jc w:val="right"/>
            </w:pPr>
            <w:r>
              <w:rPr>
                <w:rFonts w:ascii="Arial" w:hAnsi="Arial"/>
                <w:color w:val="64748B"/>
                <w:sz w:val="18"/>
              </w:rPr>
              <w:t>24</w:t>
            </w:r>
          </w:p>
        </w:tc>
      </w:tr>
      <w:tr>
        <w:tc>
          <w:tcPr>
            <w:tcW w:type="dxa" w:w="8352"/>
          </w:tcPr>
          <w:p>
            <w:pPr>
              <w:spacing w:before="20" w:after="20"/>
            </w:pPr>
            <w:r>
              <w:rPr>
                <w:rFonts w:ascii="Arial" w:hAnsi="Arial"/>
                <w:color w:val="475569"/>
                <w:sz w:val="18"/>
              </w:rPr>
              <w:t xml:space="preserve">    10.2 Resultados de la Suite Automatizada (83 Pruebas Unitarias)</w:t>
            </w:r>
          </w:p>
        </w:tc>
        <w:tc>
          <w:tcPr>
            <w:tcW w:type="dxa" w:w="1008"/>
          </w:tcPr>
          <w:p>
            <w:pPr>
              <w:spacing w:before="20" w:after="20"/>
              <w:jc w:val="right"/>
            </w:pPr>
            <w:r>
              <w:rPr>
                <w:rFonts w:ascii="Arial" w:hAnsi="Arial"/>
                <w:color w:val="64748B"/>
                <w:sz w:val="18"/>
              </w:rPr>
              <w:t>25</w:t>
            </w:r>
          </w:p>
        </w:tc>
      </w:tr>
      <w:tr>
        <w:tc>
          <w:tcPr>
            <w:tcW w:type="dxa" w:w="8352"/>
          </w:tcPr>
          <w:p>
            <w:pPr>
              <w:spacing w:before="20" w:after="20"/>
            </w:pPr>
            <w:r>
              <w:rPr>
                <w:rFonts w:ascii="Arial" w:hAnsi="Arial"/>
                <w:color w:val="475569"/>
                <w:sz w:val="18"/>
              </w:rPr>
              <w:t xml:space="preserve">    10.3 Resultados de las Suites de Auditoría de Paneles y Datos</w:t>
            </w:r>
          </w:p>
        </w:tc>
        <w:tc>
          <w:tcPr>
            <w:tcW w:type="dxa" w:w="1008"/>
          </w:tcPr>
          <w:p>
            <w:pPr>
              <w:spacing w:before="20" w:after="20"/>
              <w:jc w:val="right"/>
            </w:pPr>
            <w:r>
              <w:rPr>
                <w:rFonts w:ascii="Arial" w:hAnsi="Arial"/>
                <w:color w:val="64748B"/>
                <w:sz w:val="18"/>
              </w:rPr>
              <w:t>26</w:t>
            </w:r>
          </w:p>
        </w:tc>
      </w:tr>
      <w:tr>
        <w:tc>
          <w:tcPr>
            <w:tcW w:type="dxa" w:w="8352"/>
          </w:tcPr>
          <w:p>
            <w:pPr>
              <w:spacing w:before="20" w:after="20"/>
            </w:pPr>
            <w:r>
              <w:rPr>
                <w:rFonts w:ascii="Arial" w:hAnsi="Arial"/>
                <w:b/>
                <w:color w:val="00324D"/>
                <w:sz w:val="18"/>
              </w:rPr>
              <w:t>11. BITÁCORA DETALLADA DE PRUEBAS TÉCNICAS Y EVIDENCIAS</w:t>
            </w:r>
          </w:p>
        </w:tc>
        <w:tc>
          <w:tcPr>
            <w:tcW w:type="dxa" w:w="1008"/>
          </w:tcPr>
          <w:p>
            <w:pPr>
              <w:spacing w:before="20" w:after="20"/>
              <w:jc w:val="right"/>
            </w:pPr>
            <w:r>
              <w:rPr>
                <w:rFonts w:ascii="Arial" w:hAnsi="Arial"/>
                <w:color w:val="64748B"/>
                <w:sz w:val="18"/>
              </w:rPr>
              <w:t>27</w:t>
            </w:r>
          </w:p>
        </w:tc>
      </w:tr>
      <w:tr>
        <w:tc>
          <w:tcPr>
            <w:tcW w:type="dxa" w:w="8352"/>
          </w:tcPr>
          <w:p>
            <w:pPr>
              <w:spacing w:before="20" w:after="20"/>
            </w:pPr>
            <w:r>
              <w:rPr>
                <w:rFonts w:ascii="Arial" w:hAnsi="Arial"/>
                <w:b/>
                <w:color w:val="00324D"/>
                <w:sz w:val="18"/>
              </w:rPr>
              <w:t>12. HALLAZGOS TÉCNICOS, LIMITACIONES Y ESTADO DE COMPROBACIÓN</w:t>
            </w:r>
          </w:p>
        </w:tc>
        <w:tc>
          <w:tcPr>
            <w:tcW w:type="dxa" w:w="1008"/>
          </w:tcPr>
          <w:p>
            <w:pPr>
              <w:spacing w:before="20" w:after="20"/>
              <w:jc w:val="right"/>
            </w:pPr>
            <w:r>
              <w:rPr>
                <w:rFonts w:ascii="Arial" w:hAnsi="Arial"/>
                <w:color w:val="64748B"/>
                <w:sz w:val="18"/>
              </w:rPr>
              <w:t>31</w:t>
            </w:r>
          </w:p>
        </w:tc>
      </w:tr>
      <w:tr>
        <w:tc>
          <w:tcPr>
            <w:tcW w:type="dxa" w:w="8352"/>
          </w:tcPr>
          <w:p>
            <w:pPr>
              <w:spacing w:before="20" w:after="20"/>
            </w:pPr>
            <w:r>
              <w:rPr>
                <w:rFonts w:ascii="Arial" w:hAnsi="Arial"/>
                <w:b/>
                <w:color w:val="00324D"/>
                <w:sz w:val="18"/>
              </w:rPr>
              <w:t>13. RECOMENDACIONES TÉCNICAS DE MEJORA Y ESCALABILIDAD</w:t>
            </w:r>
          </w:p>
        </w:tc>
        <w:tc>
          <w:tcPr>
            <w:tcW w:type="dxa" w:w="1008"/>
          </w:tcPr>
          <w:p>
            <w:pPr>
              <w:spacing w:before="20" w:after="20"/>
              <w:jc w:val="right"/>
            </w:pPr>
            <w:r>
              <w:rPr>
                <w:rFonts w:ascii="Arial" w:hAnsi="Arial"/>
                <w:color w:val="64748B"/>
                <w:sz w:val="18"/>
              </w:rPr>
              <w:t>33</w:t>
            </w:r>
          </w:p>
        </w:tc>
      </w:tr>
      <w:tr>
        <w:tc>
          <w:tcPr>
            <w:tcW w:type="dxa" w:w="8352"/>
          </w:tcPr>
          <w:p>
            <w:pPr>
              <w:spacing w:before="20" w:after="20"/>
            </w:pPr>
            <w:r>
              <w:rPr>
                <w:rFonts w:ascii="Arial" w:hAnsi="Arial"/>
                <w:b/>
                <w:color w:val="00324D"/>
                <w:sz w:val="18"/>
              </w:rPr>
              <w:t>14. CONCLUSIONES</w:t>
            </w:r>
          </w:p>
        </w:tc>
        <w:tc>
          <w:tcPr>
            <w:tcW w:type="dxa" w:w="1008"/>
          </w:tcPr>
          <w:p>
            <w:pPr>
              <w:spacing w:before="20" w:after="20"/>
              <w:jc w:val="right"/>
            </w:pPr>
            <w:r>
              <w:rPr>
                <w:rFonts w:ascii="Arial" w:hAnsi="Arial"/>
                <w:color w:val="64748B"/>
                <w:sz w:val="18"/>
              </w:rPr>
              <w:t>34</w:t>
            </w:r>
          </w:p>
        </w:tc>
      </w:tr>
      <w:tr>
        <w:tc>
          <w:tcPr>
            <w:tcW w:type="dxa" w:w="8352"/>
          </w:tcPr>
          <w:p>
            <w:pPr>
              <w:spacing w:before="20" w:after="20"/>
            </w:pPr>
            <w:r>
              <w:rPr>
                <w:rFonts w:ascii="Arial" w:hAnsi="Arial"/>
                <w:b/>
                <w:color w:val="00324D"/>
                <w:sz w:val="18"/>
              </w:rPr>
              <w:t>15. REFERENCIAS TÉCNICAS Y ESTÁNDARES INTERNACIONALES</w:t>
            </w:r>
          </w:p>
        </w:tc>
        <w:tc>
          <w:tcPr>
            <w:tcW w:type="dxa" w:w="1008"/>
          </w:tcPr>
          <w:p>
            <w:pPr>
              <w:spacing w:before="20" w:after="20"/>
              <w:jc w:val="right"/>
            </w:pPr>
            <w:r>
              <w:rPr>
                <w:rFonts w:ascii="Arial" w:hAnsi="Arial"/>
                <w:color w:val="64748B"/>
                <w:sz w:val="18"/>
              </w:rPr>
              <w:t>35</w:t>
            </w:r>
          </w:p>
        </w:tc>
      </w:tr>
      <w:tr>
        <w:tc>
          <w:tcPr>
            <w:tcW w:type="dxa" w:w="8352"/>
          </w:tcPr>
          <w:p>
            <w:pPr>
              <w:spacing w:before="20" w:after="20"/>
            </w:pPr>
            <w:r>
              <w:rPr>
                <w:rFonts w:ascii="Arial" w:hAnsi="Arial"/>
                <w:b/>
                <w:color w:val="00324D"/>
                <w:sz w:val="18"/>
              </w:rPr>
              <w:t>16. ANEXOS: ESTRUCTURAS, CONFIGURACIONES Y VERIFICACIONES</w:t>
            </w:r>
          </w:p>
        </w:tc>
        <w:tc>
          <w:tcPr>
            <w:tcW w:type="dxa" w:w="1008"/>
          </w:tcPr>
          <w:p>
            <w:pPr>
              <w:spacing w:before="20" w:after="20"/>
              <w:jc w:val="right"/>
            </w:pPr>
            <w:r>
              <w:rPr>
                <w:rFonts w:ascii="Arial" w:hAnsi="Arial"/>
                <w:color w:val="64748B"/>
                <w:sz w:val="18"/>
              </w:rPr>
              <w:t>36</w:t>
            </w:r>
          </w:p>
        </w:tc>
      </w:tr>
    </w:tbl>
    <w:p>
      <w:r>
        <w:br w:type="page"/>
      </w:r>
    </w:p>
    <w:p>
      <w:pPr>
        <w:keepNext/>
        <w:spacing w:before="320" w:after="120"/>
      </w:pPr>
      <w:r>
        <w:rPr>
          <w:rFonts w:ascii="Arial" w:hAnsi="Arial"/>
          <w:b/>
          <w:color w:val="00324D"/>
          <w:sz w:val="28"/>
        </w:rPr>
        <w:t>1. INTRODUCCIÓN</w:t>
      </w:r>
    </w:p>
    <w:p>
      <w:pPr>
        <w:spacing w:before="60" w:after="80" w:line="276" w:lineRule="auto"/>
      </w:pPr>
      <w:r>
        <w:rPr>
          <w:rFonts w:ascii="Arial" w:hAnsi="Arial"/>
          <w:color w:val="334155"/>
          <w:sz w:val="20"/>
        </w:rPr>
        <w:t>El presente informe técnico ha sido estructurado en cumplimiento directo del Resultado de Aprendizaje (RAP) de ejecución: «Elaborar informes técnicos relacionados con la solución informática implantada, de acuerdo con las propuestas de alternativas aplicadas, teniendo en cuenta las técnicas de comunicación y según normas y protocolos establecidos», bajo las directrices formativas del instructor Anybal López en el Centro de Logística y Promoción Ecoturística del Magdalena, Servicio Nacional de Aprendizaje (SENA).</w:t>
      </w:r>
    </w:p>
    <w:p>
      <w:pPr>
        <w:spacing w:before="60" w:after="80" w:line="276" w:lineRule="auto"/>
      </w:pPr>
      <w:r>
        <w:rPr>
          <w:rFonts w:ascii="Arial" w:hAnsi="Arial"/>
          <w:color w:val="334155"/>
          <w:sz w:val="20"/>
        </w:rPr>
        <w:t>Como aprendiz del Tecnólogo en Análisis y Desarrollo de Software (ADSI / ADSO), presento la consolidación técnica y el estado de ingeniería real del software EduNova (concebido originalmente en etapas previas como SINETEC — Sistema Integrado de Educación Técnica). Este sistema constituye una solución informática integral diseñada para dar respuesta a la desarticulación operativa, administrativa y académica existente entre las instituciones de educación media técnica del departamento del Magdalena y los centros de formación profesional del SENA.</w:t>
      </w:r>
    </w:p>
    <w:p>
      <w:pPr>
        <w:spacing w:before="60" w:after="80" w:line="276" w:lineRule="auto"/>
      </w:pPr>
      <w:r>
        <w:rPr>
          <w:rFonts w:ascii="Arial" w:hAnsi="Arial"/>
          <w:color w:val="334155"/>
          <w:sz w:val="20"/>
        </w:rPr>
        <w:t>A lo largo de este documento se presenta una radiografía rigurosa y comprobada sobre el código fuente, la infraestructura tecnológica, los modelos de despliegue en la nube y en servidor local, los controles criptográficos y de seguridad, así como la bitácora de pruebas automatizadas y funcionales ejecutadas sobre el sistema. Se mantiene una distinción transparente entre las funcionalidades plenamente verificadas en ejecución, las propuestas arquitectónicas y las limitaciones actuales del entorno de demostración y producción.</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40" w:type="dxa"/>
            </w:tcMar>
            <w:tcBorders>
              <w:left w:val="single" w:sz="24" w:space="0" w:color="00324D"/>
              <w:top w:val="none"/>
              <w:right w:val="none"/>
              <w:bottom w:val="none"/>
            </w:tcBorders>
          </w:tcPr>
          <w:p>
            <w:pPr>
              <w:spacing w:before="40" w:after="40" w:line="276" w:lineRule="auto"/>
            </w:pPr>
            <w:r>
              <w:rPr>
                <w:rFonts w:ascii="Arial" w:hAnsi="Arial"/>
                <w:b/>
                <w:color w:val="00324D"/>
                <w:sz w:val="21"/>
              </w:rPr>
              <w:t>DECLARACIÓN DE INTEGRIDAD TÉCNICA Y PROTOCOLO SENA</w:t>
              <w:br/>
            </w:r>
            <w:r>
              <w:rPr>
                <w:rFonts w:ascii="Arial" w:hAnsi="Arial"/>
                <w:color w:val="334155"/>
                <w:sz w:val="19"/>
              </w:rPr>
              <w:t>El presente informe no contiene métricas ficticias ni resultados simulados. Todas las pruebas unitarias, de integración y de auditoría aquí expuestas fueron ejecutadas directamente sobre el entorno de desarrollo y contra la instancia desplegada en la nube. Las decisiones técnicas se analizan bajo estándares internacionales reconocidos: ISO/IEC 25010 (Calidad de Producto de Software), ISO/IEC 27001 (Seguridad de la Información) y las directrices de pruebas de software IEEE 829.</w:t>
            </w:r>
          </w:p>
        </w:tc>
      </w:tr>
    </w:tbl>
    <w:p/>
    <w:p>
      <w:pPr>
        <w:keepNext/>
        <w:spacing w:before="320" w:after="120"/>
      </w:pPr>
      <w:r>
        <w:rPr>
          <w:rFonts w:ascii="Arial" w:hAnsi="Arial"/>
          <w:b/>
          <w:color w:val="00324D"/>
          <w:sz w:val="28"/>
        </w:rPr>
        <w:t>2. OBJETIVOS DEL INFORME TÉCNICO</w:t>
      </w:r>
    </w:p>
    <w:p>
      <w:pPr>
        <w:keepNext/>
        <w:spacing w:before="240" w:after="80"/>
      </w:pPr>
      <w:r>
        <w:rPr>
          <w:rFonts w:ascii="Arial" w:hAnsi="Arial"/>
          <w:b/>
          <w:color w:val="2563EB"/>
          <w:sz w:val="23"/>
        </w:rPr>
        <w:t>2.1 Objetivo General</w:t>
      </w:r>
    </w:p>
    <w:p>
      <w:pPr>
        <w:spacing w:before="60" w:after="80" w:line="276" w:lineRule="auto"/>
      </w:pPr>
      <w:r>
        <w:rPr>
          <w:rFonts w:ascii="Arial" w:hAnsi="Arial"/>
          <w:color w:val="334155"/>
          <w:sz w:val="20"/>
        </w:rPr>
        <w:t>Elaborar y documentar el informe técnico integral de la solución informática EduNova implantada, analizando comparativamente las alternativas de infraestructura y almacenamiento aplicadas, verificando los mecanismos de seguridad y control de acceso, y sustentando la calidad del software mediante la ejecución rigurosa de pruebas técnicas conforme a las normas y protocolos del SENA.</w:t>
      </w:r>
    </w:p>
    <w:p>
      <w:pPr>
        <w:keepNext/>
        <w:spacing w:before="240" w:after="80"/>
      </w:pPr>
      <w:r>
        <w:rPr>
          <w:rFonts w:ascii="Arial" w:hAnsi="Arial"/>
          <w:b/>
          <w:color w:val="2563EB"/>
          <w:sz w:val="23"/>
        </w:rPr>
        <w:t>2.2 Objetivos Específicos</w:t>
      </w:r>
    </w:p>
    <w:p>
      <w:pPr>
        <w:pStyle w:val="ListBullet"/>
        <w:spacing w:before="40" w:after="40" w:line="276" w:lineRule="auto"/>
      </w:pPr>
      <w:r>
        <w:rPr>
          <w:rFonts w:ascii="Arial" w:hAnsi="Arial"/>
          <w:b/>
          <w:color w:val="00324D"/>
          <w:sz w:val="20"/>
        </w:rPr>
        <w:t>1. Diagnóstico de la Solución:</w:t>
      </w:r>
      <w:r>
        <w:rPr>
          <w:rFonts w:ascii="Arial" w:hAnsi="Arial"/>
          <w:color w:val="334155"/>
          <w:sz w:val="20"/>
        </w:rPr>
        <w:t xml:space="preserve"> Determinar la estructura real de componentes, dependencias, frameworks y configuración del servidor del proyecto EduNova a partir de la inspección directa del repositorio y código fuente.</w:t>
      </w:r>
    </w:p>
    <w:p>
      <w:pPr>
        <w:pStyle w:val="ListBullet"/>
        <w:spacing w:before="40" w:after="40" w:line="276" w:lineRule="auto"/>
      </w:pPr>
      <w:r>
        <w:rPr>
          <w:rFonts w:ascii="Arial" w:hAnsi="Arial"/>
          <w:b/>
          <w:color w:val="00324D"/>
          <w:sz w:val="20"/>
        </w:rPr>
        <w:t>2. Evaluación de Alternativas:</w:t>
      </w:r>
      <w:r>
        <w:rPr>
          <w:rFonts w:ascii="Arial" w:hAnsi="Arial"/>
          <w:color w:val="334155"/>
          <w:sz w:val="20"/>
        </w:rPr>
        <w:t xml:space="preserve"> Contrastar técnica y financieramente un mínimo de dos alternativas tecnológicas clave (alojamiento en la nube PaaS vs. servidor local On-Premise; motor de base de datos MySQL vs. PostgreSQL y SQLite; despliegue continuo PaaS vs. VPS autogestionado), justificando la selección adoptada.</w:t>
      </w:r>
    </w:p>
    <w:p>
      <w:pPr>
        <w:pStyle w:val="ListBullet"/>
        <w:spacing w:before="40" w:after="40" w:line="276" w:lineRule="auto"/>
      </w:pPr>
      <w:r>
        <w:rPr>
          <w:rFonts w:ascii="Arial" w:hAnsi="Arial"/>
          <w:b/>
          <w:color w:val="00324D"/>
          <w:sz w:val="20"/>
        </w:rPr>
        <w:t>3. Verificación del Despliegue:</w:t>
      </w:r>
      <w:r>
        <w:rPr>
          <w:rFonts w:ascii="Arial" w:hAnsi="Arial"/>
          <w:color w:val="334155"/>
          <w:sz w:val="20"/>
        </w:rPr>
        <w:t xml:space="preserve"> Documentar los parámetros de puesta en marcha, variables de entorno (.env), configuración WSGI con Gunicorn, servidor web, y la disponibilidad pública comprobada en la URL https://sinetec-1.onrender.com/.</w:t>
      </w:r>
    </w:p>
    <w:p>
      <w:pPr>
        <w:pStyle w:val="ListBullet"/>
        <w:spacing w:before="40" w:after="40" w:line="276" w:lineRule="auto"/>
      </w:pPr>
      <w:r>
        <w:rPr>
          <w:rFonts w:ascii="Arial" w:hAnsi="Arial"/>
          <w:b/>
          <w:color w:val="00324D"/>
          <w:sz w:val="20"/>
        </w:rPr>
        <w:t>4. Auditoría de Seguridad:</w:t>
      </w:r>
      <w:r>
        <w:rPr>
          <w:rFonts w:ascii="Arial" w:hAnsi="Arial"/>
          <w:color w:val="334155"/>
          <w:sz w:val="20"/>
        </w:rPr>
        <w:t xml:space="preserve"> Auditar las medidas de hardening, autenticación PBKDF2-SHA256, protección contra vulnerabilidades comunes (CSRF, XSS, Clickjacking, SQLi) y control de acceso basado en roles (RBAC) para los 6 perfiles institucionales.</w:t>
      </w:r>
    </w:p>
    <w:p>
      <w:pPr>
        <w:pStyle w:val="ListBullet"/>
        <w:spacing w:before="40" w:after="40" w:line="276" w:lineRule="auto"/>
      </w:pPr>
      <w:r>
        <w:rPr>
          <w:rFonts w:ascii="Arial" w:hAnsi="Arial"/>
          <w:b/>
          <w:color w:val="00324D"/>
          <w:sz w:val="20"/>
        </w:rPr>
        <w:t>5. Ejecución y Bitácora de Pruebas:</w:t>
      </w:r>
      <w:r>
        <w:rPr>
          <w:rFonts w:ascii="Arial" w:hAnsi="Arial"/>
          <w:color w:val="334155"/>
          <w:sz w:val="20"/>
        </w:rPr>
        <w:t xml:space="preserve"> Ejecutar la suite automatizada de pruebas unitarias y de integración de Django, así como las rutinas de auditoría de datos, documentando detalladamente los resultados en una bitácora con evidencias comprobables.</w:t>
      </w:r>
    </w:p>
    <w:p>
      <w:pPr>
        <w:pStyle w:val="ListBullet"/>
        <w:spacing w:before="40" w:after="40" w:line="276" w:lineRule="auto"/>
      </w:pPr>
      <w:r>
        <w:rPr>
          <w:rFonts w:ascii="Arial" w:hAnsi="Arial"/>
          <w:b/>
          <w:color w:val="00324D"/>
          <w:sz w:val="20"/>
        </w:rPr>
        <w:t>6. Recomendaciones de Ingeniería:</w:t>
      </w:r>
      <w:r>
        <w:rPr>
          <w:rFonts w:ascii="Arial" w:hAnsi="Arial"/>
          <w:color w:val="334155"/>
          <w:sz w:val="20"/>
        </w:rPr>
        <w:t xml:space="preserve"> Identificar limitaciones técnicas, áreas pendientes y recomendaciones de mantenimiento preventivo y correctivo para guiar la sostenibilidad del sistema.</w:t>
      </w:r>
    </w:p>
    <w:p>
      <w:pPr>
        <w:keepNext/>
        <w:spacing w:before="320" w:after="120"/>
      </w:pPr>
      <w:r>
        <w:rPr>
          <w:rFonts w:ascii="Arial" w:hAnsi="Arial"/>
          <w:b/>
          <w:color w:val="00324D"/>
          <w:sz w:val="28"/>
        </w:rPr>
        <w:t>3. ALCANCE DEL INFORME TÉCNICO</w:t>
      </w:r>
    </w:p>
    <w:p>
      <w:pPr>
        <w:spacing w:before="60" w:after="80" w:line="276" w:lineRule="auto"/>
      </w:pPr>
      <w:r>
        <w:rPr>
          <w:rFonts w:ascii="Arial" w:hAnsi="Arial"/>
          <w:color w:val="334155"/>
          <w:sz w:val="20"/>
        </w:rPr>
        <w:t>El alcance de este informe técnico abarca la totalidad del ecosistema informático de EduNova en su versión funcional actual (Octubre de 2026), cubriendo tanto el entorno de ejecución local en el equipo de desarrollo como el entorno de despliegue en la nube. Específicamente, incluye:</w:t>
      </w:r>
    </w:p>
    <w:p>
      <w:pPr>
        <w:pStyle w:val="ListBullet"/>
        <w:spacing w:before="40" w:after="40" w:line="276" w:lineRule="auto"/>
      </w:pPr>
      <w:r>
        <w:rPr>
          <w:rFonts w:ascii="Arial" w:hAnsi="Arial"/>
          <w:b/>
          <w:color w:val="00324D"/>
          <w:sz w:val="20"/>
        </w:rPr>
        <w:t>Módulos de Software:</w:t>
      </w:r>
      <w:r>
        <w:rPr>
          <w:rFonts w:ascii="Arial" w:hAnsi="Arial"/>
          <w:color w:val="334155"/>
          <w:sz w:val="20"/>
        </w:rPr>
        <w:t>La revisión de las 6 aplicaciones principales de Django que componen el núcleo del sistema: usuarios, academico, instituciones, seguimiento, evaluaciones y convenios.</w:t>
      </w:r>
    </w:p>
    <w:p>
      <w:pPr>
        <w:pStyle w:val="ListBullet"/>
        <w:spacing w:before="40" w:after="40" w:line="276" w:lineRule="auto"/>
      </w:pPr>
      <w:r>
        <w:rPr>
          <w:rFonts w:ascii="Arial" w:hAnsi="Arial"/>
          <w:b/>
          <w:color w:val="00324D"/>
          <w:sz w:val="20"/>
        </w:rPr>
        <w:t>Capa de Persistencia:</w:t>
      </w:r>
      <w:r>
        <w:rPr>
          <w:rFonts w:ascii="Arial" w:hAnsi="Arial"/>
          <w:color w:val="334155"/>
          <w:sz w:val="20"/>
        </w:rPr>
        <w:t>La validación de la conectividad en el puerto 3306 con el servidor local MySQL 8.0 (base de datos 'sinetec') y el mecanismo dinámico de conmutación hacia PostgreSQL (mediante dj-database-url) o SQLite para entornos serverless y contenedores efímeros.</w:t>
      </w:r>
    </w:p>
    <w:p>
      <w:pPr>
        <w:pStyle w:val="ListBullet"/>
        <w:spacing w:before="40" w:after="40" w:line="276" w:lineRule="auto"/>
      </w:pPr>
      <w:r>
        <w:rPr>
          <w:rFonts w:ascii="Arial" w:hAnsi="Arial"/>
          <w:b/>
          <w:color w:val="00324D"/>
          <w:sz w:val="20"/>
        </w:rPr>
        <w:t>Infraestructura Cloud:</w:t>
      </w:r>
      <w:r>
        <w:rPr>
          <w:rFonts w:ascii="Arial" w:hAnsi="Arial"/>
          <w:color w:val="334155"/>
          <w:sz w:val="20"/>
        </w:rPr>
        <w:t>La verificación del despliegue en el proveedor PaaS Render (región Oregon, runtime Python 3.11.9, servidor HTTP WSGI Gunicorn, almacenamiento estático con WhiteNoise).</w:t>
      </w:r>
    </w:p>
    <w:p>
      <w:pPr>
        <w:pStyle w:val="ListBullet"/>
        <w:spacing w:before="40" w:after="40" w:line="276" w:lineRule="auto"/>
      </w:pPr>
      <w:r>
        <w:rPr>
          <w:rFonts w:ascii="Arial" w:hAnsi="Arial"/>
          <w:b/>
          <w:color w:val="00324D"/>
          <w:sz w:val="20"/>
        </w:rPr>
        <w:t>Paneles y Control de Acceso:</w:t>
      </w:r>
      <w:r>
        <w:rPr>
          <w:rFonts w:ascii="Arial" w:hAnsi="Arial"/>
          <w:color w:val="334155"/>
          <w:sz w:val="20"/>
        </w:rPr>
        <w:t>La comprobación de acceso, navegación y coherencia de datos para los seis paneles de usuario: Administrador General, Rectoría, Secretaría Académica, Docente/Instructor, Estudiante/Aprendiz y Acudiente/Familia.</w:t>
      </w:r>
    </w:p>
    <w:p>
      <w:pPr>
        <w:pStyle w:val="ListBullet"/>
        <w:spacing w:before="40" w:after="40" w:line="276" w:lineRule="auto"/>
      </w:pPr>
      <w:r>
        <w:rPr>
          <w:rFonts w:ascii="Arial" w:hAnsi="Arial"/>
          <w:b/>
          <w:color w:val="00324D"/>
          <w:sz w:val="20"/>
        </w:rPr>
        <w:t>Aseguramiento de Calidad:</w:t>
      </w:r>
      <w:r>
        <w:rPr>
          <w:rFonts w:ascii="Arial" w:hAnsi="Arial"/>
          <w:color w:val="334155"/>
          <w:sz w:val="20"/>
        </w:rPr>
        <w:t>La ejecución de 83 pruebas unitarias formales integradas en la suite de Django y 2 suites complementarias de auditoría de datos y consistencia de interfaz.</w:t>
      </w:r>
    </w:p>
    <w:p>
      <w:pPr>
        <w:spacing w:before="60" w:after="80" w:line="276" w:lineRule="auto"/>
      </w:pPr>
      <w:r>
        <w:rPr>
          <w:rFonts w:ascii="Arial" w:hAnsi="Arial"/>
          <w:color w:val="334155"/>
          <w:sz w:val="20"/>
        </w:rPr>
        <w:t>No forma parte del alcance actual de esta fase la implementación de microservicios distribuidos ni la pasarela de pagos electrónicos en vivo (los pagos de pensión operan en modo registro y verificación administrativa escolar).</w:t>
      </w:r>
    </w:p>
    <w:p>
      <w:pPr>
        <w:keepNext/>
        <w:spacing w:before="320" w:after="120"/>
      </w:pPr>
      <w:r>
        <w:rPr>
          <w:rFonts w:ascii="Arial" w:hAnsi="Arial"/>
          <w:b/>
          <w:color w:val="00324D"/>
          <w:sz w:val="28"/>
        </w:rPr>
        <w:t>4. DESCRIPCIÓN INTEGRAL DEL SISTEMA EDUNOVA</w:t>
      </w:r>
    </w:p>
    <w:p>
      <w:pPr>
        <w:keepNext/>
        <w:spacing w:before="240" w:after="80"/>
      </w:pPr>
      <w:r>
        <w:rPr>
          <w:rFonts w:ascii="Arial" w:hAnsi="Arial"/>
          <w:b/>
          <w:color w:val="2563EB"/>
          <w:sz w:val="23"/>
        </w:rPr>
        <w:t>4.1 Origen, Evolución e Identidad Institucional</w:t>
      </w:r>
    </w:p>
    <w:p>
      <w:pPr>
        <w:spacing w:before="60" w:after="80" w:line="276" w:lineRule="auto"/>
      </w:pPr>
      <w:r>
        <w:rPr>
          <w:rFonts w:ascii="Arial" w:hAnsi="Arial"/>
          <w:color w:val="334155"/>
          <w:sz w:val="20"/>
        </w:rPr>
        <w:t>EduNova (concebido originalmente bajo el acrónimo SINETEC — Sistema Integrado de Educación Técnica) surge como una respuesta tecnológica a una problemática crítica diagnosticada en la articulación del SENA Regional Magdalena con las instituciones de educación media técnica (grados 10° y 11°). Históricamente, el seguimiento de competencias curriculares, la legalización de matrículas, la asignación de horarios de ambientes de aprendizaje y la emisión de juicios evaluativos ('Aprobado' o 'Deficiente') se realizaban mediante planillas físicas o archivos aislados de hojas de cálculo, generando retrasos de semanas en la homologación de títulos y riesgo permanente de pérdida de información.</w:t>
      </w:r>
    </w:p>
    <w:p>
      <w:pPr>
        <w:spacing w:before="60" w:after="80" w:line="276" w:lineRule="auto"/>
      </w:pPr>
      <w:r>
        <w:rPr>
          <w:rFonts w:ascii="Arial" w:hAnsi="Arial"/>
          <w:color w:val="334155"/>
          <w:sz w:val="20"/>
        </w:rPr>
        <w:t>Con la evolución hacia EduNova, el software amplió su espectro para convertirse en una plataforma de gestión escolar y académica integral que unifica tanto la trazabilidad curricular oficial del SENA (fichas, programas técnicos, competencias laborales, resultados de aprendizaje RAP) como la operación escolar diaria (calificaciones por periodos, asistencia en tiempo real, carnets digitales con QR, horarios y comunicación familiar).</w:t>
      </w:r>
    </w:p>
    <w:p>
      <w:pPr>
        <w:keepNext/>
        <w:spacing w:before="240" w:after="80"/>
      </w:pPr>
      <w:r>
        <w:rPr>
          <w:rFonts w:ascii="Arial" w:hAnsi="Arial"/>
          <w:b/>
          <w:color w:val="2563EB"/>
          <w:sz w:val="23"/>
        </w:rPr>
        <w:t>4.2 Módulos Funcionales Implementados</w:t>
      </w:r>
    </w:p>
    <w:p>
      <w:pPr>
        <w:pStyle w:val="ListBullet"/>
        <w:spacing w:before="40" w:after="40" w:line="276" w:lineRule="auto"/>
      </w:pPr>
      <w:r>
        <w:rPr>
          <w:rFonts w:ascii="Arial" w:hAnsi="Arial"/>
          <w:b/>
          <w:color w:val="00324D"/>
          <w:sz w:val="20"/>
        </w:rPr>
        <w:t>Módulo de Usuarios y Seguridad (usuarios):</w:t>
      </w:r>
      <w:r>
        <w:rPr>
          <w:rFonts w:ascii="Arial" w:hAnsi="Arial"/>
          <w:color w:val="334155"/>
          <w:sz w:val="20"/>
        </w:rPr>
        <w:t>Gestión de cuentas institucionales, control de estado de cuentas activas/inactivas (borrado lógico RN-008), extensión de perfil con OneToOneField, tipos de documentos legales (CC, TI, CE, PEP, PPT) y generación de carnets estudiantiles protegidos con QR criptográfico rotativo.</w:t>
      </w:r>
    </w:p>
    <w:p>
      <w:pPr>
        <w:pStyle w:val="ListBullet"/>
        <w:spacing w:before="40" w:after="40" w:line="276" w:lineRule="auto"/>
      </w:pPr>
      <w:r>
        <w:rPr>
          <w:rFonts w:ascii="Arial" w:hAnsi="Arial"/>
          <w:b/>
          <w:color w:val="00324D"/>
          <w:sz w:val="20"/>
        </w:rPr>
        <w:t>Módulo de Instituciones (instituciones):</w:t>
      </w:r>
      <w:r>
        <w:rPr>
          <w:rFonts w:ascii="Arial" w:hAnsi="Arial"/>
          <w:color w:val="334155"/>
          <w:sz w:val="20"/>
        </w:rPr>
        <w:t>Catálogo de colegios articulados, sedes educativas, rectores, coordinadores y resolución de aprobación oficial.</w:t>
      </w:r>
    </w:p>
    <w:p>
      <w:pPr>
        <w:pStyle w:val="ListBullet"/>
        <w:spacing w:before="40" w:after="40" w:line="276" w:lineRule="auto"/>
      </w:pPr>
      <w:r>
        <w:rPr>
          <w:rFonts w:ascii="Arial" w:hAnsi="Arial"/>
          <w:b/>
          <w:color w:val="00324D"/>
          <w:sz w:val="20"/>
        </w:rPr>
        <w:t>Módulo Académico Curricular (academico):</w:t>
      </w:r>
      <w:r>
        <w:rPr>
          <w:rFonts w:ascii="Arial" w:hAnsi="Arial"/>
          <w:color w:val="334155"/>
          <w:sz w:val="20"/>
        </w:rPr>
        <w:t>Administración de programas técnicos y tecnólogos, competencias laborales, asignación de carga docente, matrículas escolares y técnicas, mallas curriculares y gestión de horarios por ambientes de aprendizaje.</w:t>
      </w:r>
    </w:p>
    <w:p>
      <w:pPr>
        <w:pStyle w:val="ListBullet"/>
        <w:spacing w:before="40" w:after="40" w:line="276" w:lineRule="auto"/>
      </w:pPr>
      <w:r>
        <w:rPr>
          <w:rFonts w:ascii="Arial" w:hAnsi="Arial"/>
          <w:b/>
          <w:color w:val="00324D"/>
          <w:sz w:val="20"/>
        </w:rPr>
        <w:t>Módulo de Evaluaciones (evaluaciones):</w:t>
      </w:r>
      <w:r>
        <w:rPr>
          <w:rFonts w:ascii="Arial" w:hAnsi="Arial"/>
          <w:color w:val="334155"/>
          <w:sz w:val="20"/>
        </w:rPr>
        <w:t>Registro de juicios evaluativos oficiales conforme al reglamento del aprendiz SENA ('A' o 'D'), cálculo de porcentajes de aprobación por RAP y bloqueo de modificaciones tras el cierre formal de periodos escolares (RN-004).</w:t>
      </w:r>
    </w:p>
    <w:p>
      <w:pPr>
        <w:pStyle w:val="ListBullet"/>
        <w:spacing w:before="40" w:after="40" w:line="276" w:lineRule="auto"/>
      </w:pPr>
      <w:r>
        <w:rPr>
          <w:rFonts w:ascii="Arial" w:hAnsi="Arial"/>
          <w:b/>
          <w:color w:val="00324D"/>
          <w:sz w:val="20"/>
        </w:rPr>
        <w:t>Módulo de Seguimiento y Permanencia (seguimiento):</w:t>
      </w:r>
      <w:r>
        <w:rPr>
          <w:rFonts w:ascii="Arial" w:hAnsi="Arial"/>
          <w:color w:val="334155"/>
          <w:sz w:val="20"/>
        </w:rPr>
        <w:t>Control de asistencia diaria y por bloques, registro de novedades/excusas médicas, bitácoras de seguimiento a etapa productiva, alertas tempranas de riesgo de deserción y comunicados escolares.</w:t>
      </w:r>
    </w:p>
    <w:p>
      <w:pPr>
        <w:pStyle w:val="ListBullet"/>
        <w:spacing w:before="40" w:after="40" w:line="276" w:lineRule="auto"/>
      </w:pPr>
      <w:r>
        <w:rPr>
          <w:rFonts w:ascii="Arial" w:hAnsi="Arial"/>
          <w:b/>
          <w:color w:val="00324D"/>
          <w:sz w:val="20"/>
        </w:rPr>
        <w:t>Módulo de Convenios (convenios):</w:t>
      </w:r>
      <w:r>
        <w:rPr>
          <w:rFonts w:ascii="Arial" w:hAnsi="Arial"/>
          <w:color w:val="334155"/>
          <w:sz w:val="20"/>
        </w:rPr>
        <w:t>Seguimiento de actas de articulación interinstitucional entre el Centro de Formación y las alcaldías o secretarías de educación municipal.</w:t>
      </w:r>
    </w:p>
    <w:p>
      <w:pPr>
        <w:keepNext/>
        <w:spacing w:before="320" w:after="120"/>
      </w:pPr>
      <w:r>
        <w:rPr>
          <w:rFonts w:ascii="Arial" w:hAnsi="Arial"/>
          <w:b/>
          <w:color w:val="00324D"/>
          <w:sz w:val="28"/>
        </w:rPr>
        <w:t>5. ARQUITECTURA Y COMPONENTES TECNOLÓGICOS</w:t>
      </w:r>
    </w:p>
    <w:p>
      <w:pPr>
        <w:keepNext/>
        <w:spacing w:before="240" w:after="80"/>
      </w:pPr>
      <w:r>
        <w:rPr>
          <w:rFonts w:ascii="Arial" w:hAnsi="Arial"/>
          <w:b/>
          <w:color w:val="2563EB"/>
          <w:sz w:val="23"/>
        </w:rPr>
        <w:t>5.1 Patrón Arquitectónico MVT (Model-View-Template)</w:t>
      </w:r>
    </w:p>
    <w:p>
      <w:pPr>
        <w:spacing w:before="60" w:after="80" w:line="276" w:lineRule="auto"/>
      </w:pPr>
      <w:r>
        <w:rPr>
          <w:rFonts w:ascii="Arial" w:hAnsi="Arial"/>
          <w:color w:val="334155"/>
          <w:sz w:val="20"/>
        </w:rPr>
        <w:t>EduNova implementa el patrón arquitectónico Model-View-Template (MVT), variante estándar del clásico MVC en el framework Django. Este patrón garantiza una clara separación de responsabilidades y un bajo acoplamiento entre capas:</w:t>
      </w:r>
    </w:p>
    <w:p>
      <w:pPr>
        <w:pStyle w:val="ListBullet"/>
        <w:spacing w:before="40" w:after="40" w:line="276" w:lineRule="auto"/>
      </w:pPr>
      <w:r>
        <w:rPr>
          <w:rFonts w:ascii="Arial" w:hAnsi="Arial"/>
          <w:b/>
          <w:color w:val="00324D"/>
          <w:sz w:val="20"/>
        </w:rPr>
        <w:t>Capa de Modelo (M):</w:t>
      </w:r>
      <w:r>
        <w:rPr>
          <w:rFonts w:ascii="Arial" w:hAnsi="Arial"/>
          <w:color w:val="334155"/>
          <w:sz w:val="20"/>
        </w:rPr>
        <w:t>Representada por los modelos ORM de Django (en Python), encargados de mapear las tablas relacionales de la base de datos, encapsular las reglas de integridad de negocio (clean(), unique_together, validadores personalizados) y gestionar las transacciones con el motor SQL.</w:t>
      </w:r>
    </w:p>
    <w:p>
      <w:pPr>
        <w:pStyle w:val="ListBullet"/>
        <w:spacing w:before="40" w:after="40" w:line="276" w:lineRule="auto"/>
      </w:pPr>
      <w:r>
        <w:rPr>
          <w:rFonts w:ascii="Arial" w:hAnsi="Arial"/>
          <w:b/>
          <w:color w:val="00324D"/>
          <w:sz w:val="20"/>
        </w:rPr>
        <w:t>Capa de Vista (V):</w:t>
      </w:r>
      <w:r>
        <w:rPr>
          <w:rFonts w:ascii="Arial" w:hAnsi="Arial"/>
          <w:color w:val="334155"/>
          <w:sz w:val="20"/>
        </w:rPr>
        <w:t>Constituida por las vistas basadas en funciones y clases en Django. Actúan como controladoras de la lógica de aplicación, procesando peticiones HTTP (GET, POST), gestionando sesiones de usuario, aplicando decoradores de control de acceso (@login_required, @validar_propietario_o_coordinador) y orquestando el flujo de datos.</w:t>
      </w:r>
    </w:p>
    <w:p>
      <w:pPr>
        <w:pStyle w:val="ListBullet"/>
        <w:spacing w:before="40" w:after="40" w:line="276" w:lineRule="auto"/>
      </w:pPr>
      <w:r>
        <w:rPr>
          <w:rFonts w:ascii="Arial" w:hAnsi="Arial"/>
          <w:b/>
          <w:color w:val="00324D"/>
          <w:sz w:val="20"/>
        </w:rPr>
        <w:t>Capa de Plantilla (T):</w:t>
      </w:r>
      <w:r>
        <w:rPr>
          <w:rFonts w:ascii="Arial" w:hAnsi="Arial"/>
          <w:color w:val="334155"/>
          <w:sz w:val="20"/>
        </w:rPr>
        <w:t>Archivos HTML5 enriquecidos con la sintaxis del motor de plantillas de Django (DTL), hojas de estilo CSS modulares y JavaScript asíncrono para manipulación de la interfaz. Permiten la inyección dinámica de contextos sin mezclar lógica de negocio en la capa de presentación.</w:t>
      </w:r>
    </w:p>
    <w:p>
      <w:pPr>
        <w:keepNext/>
        <w:spacing w:before="240" w:after="80"/>
      </w:pPr>
      <w:r>
        <w:rPr>
          <w:rFonts w:ascii="Arial" w:hAnsi="Arial"/>
          <w:b/>
          <w:color w:val="2563EB"/>
          <w:sz w:val="23"/>
        </w:rPr>
        <w:t>5.2 Desacoplamiento Modular en Aplicaciones Django</w:t>
      </w:r>
    </w:p>
    <w:p>
      <w:pPr>
        <w:spacing w:before="60" w:after="80" w:line="276" w:lineRule="auto"/>
      </w:pPr>
      <w:r>
        <w:rPr>
          <w:rFonts w:ascii="Arial" w:hAnsi="Arial"/>
          <w:color w:val="334155"/>
          <w:sz w:val="20"/>
        </w:rPr>
        <w:t>El proyecto no fue concebido como un monolito plano y desordenado. Se organiza en 6 aplicaciones independientes coordinadas por el paquete de configuración central sinetec_project:</w:t>
      </w:r>
    </w:p>
    <w:p>
      <w:pPr>
        <w:pStyle w:val="ListBullet"/>
        <w:spacing w:before="40" w:after="40" w:line="276" w:lineRule="auto"/>
      </w:pPr>
      <w:r>
        <w:rPr>
          <w:rFonts w:ascii="Arial" w:hAnsi="Arial"/>
          <w:b/>
          <w:color w:val="00324D"/>
          <w:sz w:val="20"/>
        </w:rPr>
        <w:t>sinetec_project (Núcleo de Configuración):</w:t>
      </w:r>
      <w:r>
        <w:rPr>
          <w:rFonts w:ascii="Arial" w:hAnsi="Arial"/>
          <w:color w:val="334155"/>
          <w:sz w:val="20"/>
        </w:rPr>
        <w:t>Contiene los archivos raíz de configuración del framework: settings.py (ajustes de seguridad, base de datos y middlewares), urls.py (enrutamiento general) y wsgi.py (punto de entrada WSGI para servidores de producción).</w:t>
      </w:r>
    </w:p>
    <w:p>
      <w:pPr>
        <w:pStyle w:val="ListBullet"/>
        <w:spacing w:before="40" w:after="40" w:line="276" w:lineRule="auto"/>
      </w:pPr>
      <w:r>
        <w:rPr>
          <w:rFonts w:ascii="Arial" w:hAnsi="Arial"/>
          <w:b/>
          <w:color w:val="00324D"/>
          <w:sz w:val="20"/>
        </w:rPr>
        <w:t>Aplicaciones de Dominio:</w:t>
      </w:r>
      <w:r>
        <w:rPr>
          <w:rFonts w:ascii="Arial" w:hAnsi="Arial"/>
          <w:color w:val="334155"/>
          <w:sz w:val="20"/>
        </w:rPr>
        <w:t>Cada aplicación (usuarios, academico, instituciones, seguimiento, evaluaciones, convenios) encapsula sus propios modelos, vistas, formularios, rutas internas y carpetas de pruebas unitarias (tests.py), permitiendo mantenimiento y escalabilidad independiente.</w:t>
      </w:r>
    </w:p>
    <w:p>
      <w:pPr>
        <w:keepNext/>
        <w:spacing w:before="240" w:after="80"/>
      </w:pPr>
      <w:r>
        <w:rPr>
          <w:rFonts w:ascii="Arial" w:hAnsi="Arial"/>
          <w:b/>
          <w:color w:val="2563EB"/>
          <w:sz w:val="23"/>
        </w:rPr>
        <w:t>5.3 Diagrama Estructural de Arquitectura y Flujo de Datos</w:t>
      </w:r>
    </w:p>
    <w:p>
      <w:pPr>
        <w:spacing w:before="60" w:after="80" w:line="276" w:lineRule="auto"/>
      </w:pPr>
      <w:r>
        <w:rPr>
          <w:rFonts w:ascii="Arial" w:hAnsi="Arial"/>
          <w:color w:val="334155"/>
          <w:sz w:val="20"/>
        </w:rPr>
        <w:t>El siguiente diagrama representa el flujo completo de peticiones, procesamiento y persistencia del sistema EduNova en su arquitectura real comprobada:</w:t>
      </w:r>
    </w:p>
    <w:tbl>
      <w:tblPr>
        <w:tblW w:type="auto" w:w="0"/>
        <w:jc w:val="center"/>
        <w:tblLayout w:type="fixed"/>
        <w:tblLook w:firstColumn="1" w:firstRow="1" w:lastColumn="0" w:lastRow="0" w:noHBand="0" w:noVBand="1" w:val="04A0"/>
      </w:tblPr>
      <w:tblGrid>
        <w:gridCol w:w="9360"/>
      </w:tblGrid>
      <w:tr>
        <w:tc>
          <w:tcPr>
            <w:tcW w:type="dxa" w:w="9360"/>
            <w:shd w:fill="1E293B"/>
            <w:tcMar>
              <w:top w:w="100" w:type="dxa"/>
              <w:bottom w:w="100" w:type="dxa"/>
              <w:left w:w="140" w:type="dxa"/>
              <w:right w:w="140" w:type="dxa"/>
            </w:tcMar>
          </w:tcPr>
          <w:p>
            <w:pPr>
              <w:spacing w:before="40" w:after="40" w:line="252" w:lineRule="auto"/>
            </w:pPr>
            <w:r>
              <w:rPr>
                <w:rFonts w:ascii="Consolas" w:hAnsi="Consolas"/>
                <w:color w:val="E2E8F0"/>
                <w:sz w:val="17"/>
              </w:rPr>
              <w:t>+-----------------------------------------------------------------------------------------+</w:t>
              <w:br/>
              <w:t>|                             CLIENTE / NAVEGADOR WEB (HTTPS)                             |</w:t>
              <w:br/>
              <w:t>|      Dispositivos: PC Institucional / Tablet / Teléfono Inteligente (Responsive UI)     |</w:t>
              <w:br/>
              <w:t>+-----------------------------------------------------------------------------------------+</w:t>
              <w:br/>
              <w:t xml:space="preserve">                                             | (Petición HTTP/HTTPS :443 o :8000)</w:t>
              <w:br/>
              <w:t xml:space="preserve">                                             v</w:t>
              <w:br/>
              <w:t>+-----------------------------------------------------------------------------------------+</w:t>
              <w:br/>
              <w:t>|                     CAPA DE INFRAESTRUCTURA Y SERVIDOR WEB                              |</w:t>
              <w:br/>
              <w:t>|   - Cloud: Render Edge Router (SSL/TLS Let's Encrypt) -&gt; Gunicorn WSGI Worker           |</w:t>
              <w:br/>
              <w:t>|   - Local: Servidor de Desarrollo Django WSGI (localhost:8000)                          |</w:t>
              <w:br/>
              <w:t>|   - Servidor de Estáticos: WhiteNoise 6.12.0 (Gzip, Brotli, Static Hash Manifest)        |</w:t>
              <w:br/>
              <w:t>+-----------------------------------------------------------------------------------------+</w:t>
              <w:br/>
              <w:t xml:space="preserve">                                             |</w:t>
              <w:br/>
              <w:t xml:space="preserve">                                             v</w:t>
              <w:br/>
              <w:t>+-----------------------------------------------------------------------------------------+</w:t>
              <w:br/>
              <w:t>|                                CADENA DE MIDDLEWARES DJANGO                             |</w:t>
              <w:br/>
              <w:t>|   1. SecurityMiddleware (SSL Redirect, HSTS)  5. AuthenticationMiddleware (Auth Sesión) |</w:t>
              <w:br/>
              <w:t>|   2. WhiteNoiseMiddleware (Cache estáticos)   6. MessageMiddleware (Alertas UI)         |</w:t>
              <w:br/>
              <w:t>|   3. SessionMiddleware (Cookies cifradas)     7. XFrameOptionsMiddleware (Clickjacking) |</w:t>
              <w:br/>
              <w:t>|   4. CsrfViewMiddleware (Token CSRF Token)                                              |</w:t>
              <w:br/>
              <w:t>+-----------------------------------------------------------------------------------------+</w:t>
              <w:br/>
              <w:t xml:space="preserve">                                             |</w:t>
              <w:br/>
              <w:t xml:space="preserve">                                             v</w:t>
              <w:br/>
              <w:t>+-----------------------------------------------------------------------------------------+</w:t>
              <w:br/>
              <w:t>|                       CONTROLADORES Y ENRUTADOR DE APLICACIÓN                           |</w:t>
              <w:br/>
              <w:t>|                  sinetec_project/urls.py  -&gt;  Vistas por Aplicación                     |</w:t>
              <w:br/>
              <w:t>|   [/dashboard/] Admin    [/rectoria/] Rector      [/secretaria/] Matrículas y Actas     |</w:t>
              <w:br/>
              <w:t>|   [/docente/] Calificar  [/estudiante/] Boletines [/familia/] Seguimiento y Pagos       |</w:t>
              <w:br/>
              <w:t>+-----------------------------------------------------------------------------------------+</w:t>
              <w:br/>
              <w:t xml:space="preserve">                                             |</w:t>
              <w:br/>
              <w:t xml:space="preserve">                                             v</w:t>
              <w:br/>
              <w:t>+-----------------------------------------------------------------------------------------+</w:t>
              <w:br/>
              <w:t>|                          CAPA DE NEGOCIO Y ORM DE DATOS                                 |</w:t>
              <w:br/>
              <w:t>|     Reglas RN-001 (Doc Único) | RN-002 (Matrícula Única) | RN-003 (Juicio A/D)          |</w:t>
              <w:br/>
              <w:t>|     RN-004 (Inmutabilidad Periodo) | RN-008 (Borrado Lógico) | Token QR Criptográfico   |</w:t>
              <w:br/>
              <w:t>+-----------------------------------------------------------------------------------------+</w:t>
              <w:br/>
              <w:t xml:space="preserve">                        |                                       |</w:t>
              <w:br/>
              <w:t xml:space="preserve">                        v (Driver PyMySQL 1.2.3)                v (Driver psycopg2-binary)</w:t>
              <w:br/>
              <w:t>+---------------------------------------+   +---------------------------------------------+</w:t>
              <w:br/>
              <w:t>|    MOTOR DE BASE DE DATOS LOCAL       |   |       MOTOR CLOUD / CONTENEDOR              |</w:t>
              <w:br/>
              <w:t>|   MySQL Community Server 8.0          |   |   PostgreSQL / SQLite3 (Fallback Cloud)     |</w:t>
              <w:br/>
              <w:t>|   Base de Datos: 'sinetec' (Puerto 3306)|  |   DATABASE_URL (dj-database-url)            |</w:t>
              <w:br/>
              <w:t>|   Tablas InnoDB con Cotejo utf8mb4    |   |   db.sqlite3 persistente / Fixture JSON     |</w:t>
              <w:br/>
              <w:t>+---------------------------------------+   +---------------------------------------------+</w:t>
              <w:br/>
            </w:r>
          </w:p>
        </w:tc>
      </w:tr>
    </w:tbl>
    <w:p/>
    <w:p>
      <w:pPr>
        <w:keepNext/>
        <w:spacing w:before="320" w:after="120"/>
      </w:pPr>
      <w:r>
        <w:rPr>
          <w:rFonts w:ascii="Arial" w:hAnsi="Arial"/>
          <w:b/>
          <w:color w:val="00324D"/>
          <w:sz w:val="28"/>
        </w:rPr>
        <w:t>6. DESPLIEGUE Y CONFIGURACIÓN DE LA SOLUCIÓN IMPLANTADA</w:t>
      </w:r>
    </w:p>
    <w:p>
      <w:pPr>
        <w:keepNext/>
        <w:spacing w:before="240" w:after="80"/>
      </w:pPr>
      <w:r>
        <w:rPr>
          <w:rFonts w:ascii="Arial" w:hAnsi="Arial"/>
          <w:b/>
          <w:color w:val="2563EB"/>
          <w:sz w:val="23"/>
        </w:rPr>
        <w:t>6.1 Entorno Local de Desarrollo y Verificación (MySQL)</w:t>
      </w:r>
    </w:p>
    <w:p>
      <w:pPr>
        <w:spacing w:before="60" w:after="80" w:line="276" w:lineRule="auto"/>
      </w:pPr>
      <w:r>
        <w:rPr>
          <w:rFonts w:ascii="Arial" w:hAnsi="Arial"/>
          <w:color w:val="334155"/>
          <w:sz w:val="20"/>
        </w:rPr>
        <w:t>En el computador de desarrollo (C:\SINETEC\SINETEC), el sistema opera sobre un entorno virtual aislado de Python 3.13 (venv). La capa de persistencia principal está conectada con el servidor local MySQL Server 8.0 en el puerto estándar TCP 3306:</w:t>
      </w:r>
    </w:p>
    <w:p>
      <w:pPr>
        <w:pStyle w:val="ListBullet"/>
        <w:spacing w:before="40" w:after="40" w:line="276" w:lineRule="auto"/>
      </w:pPr>
      <w:r>
        <w:rPr>
          <w:rFonts w:ascii="Arial" w:hAnsi="Arial"/>
          <w:b/>
          <w:color w:val="00324D"/>
          <w:sz w:val="20"/>
        </w:rPr>
        <w:t>Host y Puerto:</w:t>
      </w:r>
      <w:r>
        <w:rPr>
          <w:rFonts w:ascii="Arial" w:hAnsi="Arial"/>
          <w:color w:val="334155"/>
          <w:sz w:val="20"/>
        </w:rPr>
        <w:t>localhost (127.0.0.1) en puerto 3306.</w:t>
      </w:r>
    </w:p>
    <w:p>
      <w:pPr>
        <w:pStyle w:val="ListBullet"/>
        <w:spacing w:before="40" w:after="40" w:line="276" w:lineRule="auto"/>
      </w:pPr>
      <w:r>
        <w:rPr>
          <w:rFonts w:ascii="Arial" w:hAnsi="Arial"/>
          <w:b/>
          <w:color w:val="00324D"/>
          <w:sz w:val="20"/>
        </w:rPr>
        <w:t>Nombre de Base de Datos:</w:t>
      </w:r>
      <w:r>
        <w:rPr>
          <w:rFonts w:ascii="Arial" w:hAnsi="Arial"/>
          <w:color w:val="334155"/>
          <w:sz w:val="20"/>
        </w:rPr>
        <w:t>sinetec (con cotejamiento utf8mb4_unicode_ci para soporte completo de tildes y caracteres internacionales).</w:t>
      </w:r>
    </w:p>
    <w:p>
      <w:pPr>
        <w:pStyle w:val="ListBullet"/>
        <w:spacing w:before="40" w:after="40" w:line="276" w:lineRule="auto"/>
      </w:pPr>
      <w:r>
        <w:rPr>
          <w:rFonts w:ascii="Arial" w:hAnsi="Arial"/>
          <w:b/>
          <w:color w:val="00324D"/>
          <w:sz w:val="20"/>
        </w:rPr>
        <w:t>Usuario de Base de Datos:</w:t>
      </w:r>
      <w:r>
        <w:rPr>
          <w:rFonts w:ascii="Arial" w:hAnsi="Arial"/>
          <w:color w:val="334155"/>
          <w:sz w:val="20"/>
        </w:rPr>
        <w:t>root (gestionado a través de variables de entorno locales).</w:t>
      </w:r>
    </w:p>
    <w:p>
      <w:pPr>
        <w:pStyle w:val="ListBullet"/>
        <w:spacing w:before="40" w:after="40" w:line="276" w:lineRule="auto"/>
      </w:pPr>
      <w:r>
        <w:rPr>
          <w:rFonts w:ascii="Arial" w:hAnsi="Arial"/>
          <w:b/>
          <w:color w:val="00324D"/>
          <w:sz w:val="20"/>
        </w:rPr>
        <w:t>Driver Python:</w:t>
      </w:r>
      <w:r>
        <w:rPr>
          <w:rFonts w:ascii="Arial" w:hAnsi="Arial"/>
          <w:color w:val="334155"/>
          <w:sz w:val="20"/>
        </w:rPr>
        <w:t>PyMySQL 1.2.3 con parche de compatibilidad mysqlclient en tiempo de arranque.</w:t>
      </w:r>
    </w:p>
    <w:p>
      <w:pPr>
        <w:spacing w:before="60" w:after="80" w:line="276" w:lineRule="auto"/>
      </w:pPr>
      <w:r>
        <w:rPr>
          <w:rFonts w:ascii="Arial" w:hAnsi="Arial"/>
          <w:color w:val="334155"/>
          <w:sz w:val="20"/>
        </w:rPr>
        <w:t>Se comprobó la existencia del archivo de base de datos secundaria SQLite (db.sqlite3, tamaño 1,646,592 bytes), el cual se utiliza para respaldo offline y ejecución rápida de pruebas en ausencia del servicio MySQL.</w:t>
      </w:r>
    </w:p>
    <w:p>
      <w:pPr>
        <w:keepNext/>
        <w:spacing w:before="240" w:after="80"/>
      </w:pPr>
      <w:r>
        <w:rPr>
          <w:rFonts w:ascii="Arial" w:hAnsi="Arial"/>
          <w:b/>
          <w:color w:val="2563EB"/>
          <w:sz w:val="23"/>
        </w:rPr>
        <w:t>6.2 Entorno de Producción en la Nube (PaaS Render)</w:t>
      </w:r>
    </w:p>
    <w:p>
      <w:pPr>
        <w:spacing w:before="60" w:after="80" w:line="276" w:lineRule="auto"/>
      </w:pPr>
      <w:r>
        <w:rPr>
          <w:rFonts w:ascii="Arial" w:hAnsi="Arial"/>
          <w:color w:val="334155"/>
          <w:sz w:val="20"/>
        </w:rPr>
        <w:t>La solución se encuentra implantada y disponible públicamente en la plataforma de servicios en la nube Render (PaaS) en la URL oficial:</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40" w:type="dxa"/>
            </w:tcMar>
            <w:tcBorders>
              <w:left w:val="single" w:sz="24" w:space="0" w:color="00324D"/>
              <w:top w:val="none"/>
              <w:right w:val="none"/>
              <w:bottom w:val="none"/>
            </w:tcBorders>
          </w:tcPr>
          <w:p>
            <w:pPr>
              <w:spacing w:before="40" w:after="40" w:line="276" w:lineRule="auto"/>
            </w:pPr>
            <w:r>
              <w:rPr>
                <w:rFonts w:ascii="Arial" w:hAnsi="Arial"/>
                <w:b/>
                <w:color w:val="00324D"/>
                <w:sz w:val="21"/>
              </w:rPr>
              <w:t>URL PÚBLICA DE PRODUCCIÓN COMPROBADA</w:t>
              <w:br/>
            </w:r>
            <w:r>
              <w:rPr>
                <w:rFonts w:ascii="Arial" w:hAnsi="Arial"/>
                <w:color w:val="334155"/>
                <w:sz w:val="19"/>
              </w:rPr>
              <w:t>Enlace de Acceso: https://sinetec-1.onrender.com/</w:t>
              <w:br/>
              <w:t>Estado del Servicio: ACTIVO (HTTP Status 200 OK comprobado el 19/10/2026).</w:t>
              <w:br/>
              <w:t>Título del Sitio: EDUNOVA | Sistema Integrado de Educación Técnica y Gestión Escolar.</w:t>
              <w:br/>
              <w:t>Certificado SSL/TLS: Emitido por Let's Encrypt (Cifrado HTTPS forzado con SNI).</w:t>
            </w:r>
          </w:p>
        </w:tc>
      </w:tr>
    </w:tbl>
    <w:p/>
    <w:p>
      <w:pPr>
        <w:spacing w:before="60" w:after="80" w:line="276" w:lineRule="auto"/>
      </w:pPr>
      <w:r>
        <w:rPr>
          <w:rFonts w:ascii="Arial" w:hAnsi="Arial"/>
          <w:color w:val="334155"/>
          <w:sz w:val="20"/>
        </w:rPr>
        <w:t>La configuración del despliegue en la nube está declarada formalmente en el archivo de infraestructura como código render.yaml:</w:t>
      </w:r>
    </w:p>
    <w:tbl>
      <w:tblPr>
        <w:tblW w:type="auto" w:w="0"/>
        <w:jc w:val="center"/>
        <w:tblLayout w:type="fixed"/>
        <w:tblLook w:firstColumn="1" w:firstRow="1" w:lastColumn="0" w:lastRow="0" w:noHBand="0" w:noVBand="1" w:val="04A0"/>
      </w:tblPr>
      <w:tblGrid>
        <w:gridCol w:w="9360"/>
      </w:tblGrid>
      <w:tr>
        <w:tc>
          <w:tcPr>
            <w:tcW w:type="dxa" w:w="9360"/>
            <w:shd w:fill="1E293B"/>
            <w:tcMar>
              <w:top w:w="100" w:type="dxa"/>
              <w:bottom w:w="100" w:type="dxa"/>
              <w:left w:w="140" w:type="dxa"/>
              <w:right w:w="140" w:type="dxa"/>
            </w:tcMar>
          </w:tcPr>
          <w:p>
            <w:pPr>
              <w:spacing w:before="40" w:after="40" w:line="252" w:lineRule="auto"/>
            </w:pPr>
            <w:r>
              <w:rPr>
                <w:rFonts w:ascii="Consolas" w:hAnsi="Consolas"/>
                <w:color w:val="E2E8F0"/>
                <w:sz w:val="17"/>
              </w:rPr>
              <w:t>services:</w:t>
              <w:br/>
              <w:t xml:space="preserve">  - type: web</w:t>
              <w:br/>
              <w:t xml:space="preserve">    name: sinetec</w:t>
              <w:br/>
              <w:t xml:space="preserve">    runtime: python</w:t>
              <w:br/>
              <w:t xml:space="preserve">    plan: free</w:t>
              <w:br/>
              <w:t xml:space="preserve">    region: oregon</w:t>
              <w:br/>
              <w:t xml:space="preserve">    branch: main</w:t>
              <w:br/>
              <w:t xml:space="preserve">    buildCommand: "./build.sh"</w:t>
              <w:br/>
              <w:t xml:space="preserve">    startCommand: "gunicorn sinetec_project.wsgi:application"</w:t>
              <w:br/>
              <w:t xml:space="preserve">    envVars:</w:t>
              <w:br/>
              <w:t xml:space="preserve">      - key: PYTHON_VERSION</w:t>
              <w:br/>
              <w:t xml:space="preserve">        value: 3.11.9</w:t>
              <w:br/>
              <w:t xml:space="preserve">      - key: DEBUG</w:t>
              <w:br/>
              <w:t xml:space="preserve">        value: "False"</w:t>
              <w:br/>
              <w:t xml:space="preserve">      - key: ALLOWED_HOSTS</w:t>
              <w:br/>
              <w:t xml:space="preserve">        value: "*"</w:t>
              <w:br/>
            </w:r>
          </w:p>
        </w:tc>
      </w:tr>
    </w:tbl>
    <w:p/>
    <w:p>
      <w:pPr>
        <w:keepNext/>
        <w:spacing w:before="240" w:after="80"/>
      </w:pPr>
      <w:r>
        <w:rPr>
          <w:rFonts w:ascii="Arial" w:hAnsi="Arial"/>
          <w:b/>
          <w:color w:val="2563EB"/>
          <w:sz w:val="23"/>
        </w:rPr>
        <w:t>6.3 Gestión de Variables de Entorno y Secretos (.env)</w:t>
      </w:r>
    </w:p>
    <w:p>
      <w:pPr>
        <w:spacing w:before="60" w:after="80" w:line="276" w:lineRule="auto"/>
      </w:pPr>
      <w:r>
        <w:rPr>
          <w:rFonts w:ascii="Arial" w:hAnsi="Arial"/>
          <w:color w:val="334155"/>
          <w:sz w:val="20"/>
        </w:rPr>
        <w:t>EduNova utiliza la librería python-decouple para desacoplar de forma estricta los parámetros sensibles del código fuente. Las credenciales de base de datos, contraseñas de correo SMTP y llaves criptográficas de sesión se leen desde el archivo local .env en tiempo de ejecución:</w:t>
      </w:r>
    </w:p>
    <w:p>
      <w:pPr>
        <w:pStyle w:val="ListBullet"/>
        <w:spacing w:before="40" w:after="40" w:line="276" w:lineRule="auto"/>
      </w:pPr>
      <w:r>
        <w:rPr>
          <w:rFonts w:ascii="Arial" w:hAnsi="Arial"/>
          <w:b/>
          <w:color w:val="00324D"/>
          <w:sz w:val="20"/>
        </w:rPr>
        <w:t>SECRET_KEY:</w:t>
      </w:r>
      <w:r>
        <w:rPr>
          <w:rFonts w:ascii="Arial" w:hAnsi="Arial"/>
          <w:color w:val="334155"/>
          <w:sz w:val="20"/>
        </w:rPr>
        <w:t>Cadena criptográfica empleada para firmar cookies de sesión y tokens CSRF. Nunca debe subirse a repositorios públicos.</w:t>
      </w:r>
    </w:p>
    <w:p>
      <w:pPr>
        <w:pStyle w:val="ListBullet"/>
        <w:spacing w:before="40" w:after="40" w:line="276" w:lineRule="auto"/>
      </w:pPr>
      <w:r>
        <w:rPr>
          <w:rFonts w:ascii="Arial" w:hAnsi="Arial"/>
          <w:b/>
          <w:color w:val="00324D"/>
          <w:sz w:val="20"/>
        </w:rPr>
        <w:t>DEBUG:</w:t>
      </w:r>
      <w:r>
        <w:rPr>
          <w:rFonts w:ascii="Arial" w:hAnsi="Arial"/>
          <w:color w:val="334155"/>
          <w:sz w:val="20"/>
        </w:rPr>
        <w:t>Control booleano. En desarrollo local opera en True; en producción se exige False para prevenir la exposición de trazas de error (Stack Traces) ante usuarios externos.</w:t>
      </w:r>
    </w:p>
    <w:p>
      <w:pPr>
        <w:pStyle w:val="ListBullet"/>
        <w:spacing w:before="40" w:after="40" w:line="276" w:lineRule="auto"/>
      </w:pPr>
      <w:r>
        <w:rPr>
          <w:rFonts w:ascii="Arial" w:hAnsi="Arial"/>
          <w:b/>
          <w:color w:val="00324D"/>
          <w:sz w:val="20"/>
        </w:rPr>
        <w:t>DB_NAME, DB_USER, DB_PASSWORD, DB_HOST, DB_PORT:</w:t>
      </w:r>
      <w:r>
        <w:rPr>
          <w:rFonts w:ascii="Arial" w:hAnsi="Arial"/>
          <w:color w:val="334155"/>
          <w:sz w:val="20"/>
        </w:rPr>
        <w:t>Parámetros de conexión al motor relacional local.</w:t>
      </w:r>
    </w:p>
    <w:p>
      <w:pPr>
        <w:pStyle w:val="ListBullet"/>
        <w:spacing w:before="40" w:after="40" w:line="276" w:lineRule="auto"/>
      </w:pPr>
      <w:r>
        <w:rPr>
          <w:rFonts w:ascii="Arial" w:hAnsi="Arial"/>
          <w:b/>
          <w:color w:val="00324D"/>
          <w:sz w:val="20"/>
        </w:rPr>
        <w:t>DATABASE_URL:</w:t>
      </w:r>
      <w:r>
        <w:rPr>
          <w:rFonts w:ascii="Arial" w:hAnsi="Arial"/>
          <w:color w:val="334155"/>
          <w:sz w:val="20"/>
        </w:rPr>
        <w:t>Parámetro URL para bases de datos administradas en la nube (PostgreSQL / Supabase / Neon). Si está presente, el sistema lo adopta automáticamente mediante dj-database-url.</w:t>
      </w:r>
    </w:p>
    <w:p>
      <w:pPr>
        <w:keepNext/>
        <w:spacing w:before="240" w:after="80"/>
      </w:pPr>
      <w:r>
        <w:rPr>
          <w:rFonts w:ascii="Arial" w:hAnsi="Arial"/>
          <w:b/>
          <w:color w:val="2563EB"/>
          <w:sz w:val="23"/>
        </w:rPr>
        <w:t>6.4 Pipeline de Construcción y Despliegue Automatizado (build.sh)</w:t>
      </w:r>
    </w:p>
    <w:p>
      <w:pPr>
        <w:spacing w:before="60" w:after="80" w:line="276" w:lineRule="auto"/>
      </w:pPr>
      <w:r>
        <w:rPr>
          <w:rFonts w:ascii="Arial" w:hAnsi="Arial"/>
          <w:color w:val="334155"/>
          <w:sz w:val="20"/>
        </w:rPr>
        <w:t>El script build.sh automatiza el proceso de despliegue continuo tras cada confirmación en la rama main de GitHub:</w:t>
      </w:r>
    </w:p>
    <w:p>
      <w:pPr>
        <w:pStyle w:val="ListBullet"/>
        <w:spacing w:before="40" w:after="40" w:line="276" w:lineRule="auto"/>
      </w:pPr>
      <w:r>
        <w:rPr>
          <w:rFonts w:ascii="Arial" w:hAnsi="Arial"/>
          <w:b/>
          <w:color w:val="00324D"/>
          <w:sz w:val="20"/>
        </w:rPr>
        <w:t>Paso 1:</w:t>
      </w:r>
      <w:r>
        <w:rPr>
          <w:rFonts w:ascii="Arial" w:hAnsi="Arial"/>
          <w:color w:val="334155"/>
          <w:sz w:val="20"/>
        </w:rPr>
        <w:t>pip install -r requirements.txt (instala 20 librerías de producción).</w:t>
      </w:r>
    </w:p>
    <w:p>
      <w:pPr>
        <w:pStyle w:val="ListBullet"/>
        <w:spacing w:before="40" w:after="40" w:line="276" w:lineRule="auto"/>
      </w:pPr>
      <w:r>
        <w:rPr>
          <w:rFonts w:ascii="Arial" w:hAnsi="Arial"/>
          <w:b/>
          <w:color w:val="00324D"/>
          <w:sz w:val="20"/>
        </w:rPr>
        <w:t>Paso 2:</w:t>
      </w:r>
      <w:r>
        <w:rPr>
          <w:rFonts w:ascii="Arial" w:hAnsi="Arial"/>
          <w:color w:val="334155"/>
          <w:sz w:val="20"/>
        </w:rPr>
        <w:t>python manage.py collectstatic --noinput (WhiteNoise unifica CSS, JS e imágenes).</w:t>
      </w:r>
    </w:p>
    <w:p>
      <w:pPr>
        <w:pStyle w:val="ListBullet"/>
        <w:spacing w:before="40" w:after="40" w:line="276" w:lineRule="auto"/>
      </w:pPr>
      <w:r>
        <w:rPr>
          <w:rFonts w:ascii="Arial" w:hAnsi="Arial"/>
          <w:b/>
          <w:color w:val="00324D"/>
          <w:sz w:val="20"/>
        </w:rPr>
        <w:t>Paso 3:</w:t>
      </w:r>
      <w:r>
        <w:rPr>
          <w:rFonts w:ascii="Arial" w:hAnsi="Arial"/>
          <w:color w:val="334155"/>
          <w:sz w:val="20"/>
        </w:rPr>
        <w:t>python manage.py migrate (aplica las 24 migraciones estructurales de base de datos).</w:t>
      </w:r>
    </w:p>
    <w:p>
      <w:pPr>
        <w:pStyle w:val="ListBullet"/>
        <w:spacing w:before="40" w:after="40" w:line="276" w:lineRule="auto"/>
      </w:pPr>
      <w:r>
        <w:rPr>
          <w:rFonts w:ascii="Arial" w:hAnsi="Arial"/>
          <w:b/>
          <w:color w:val="00324D"/>
          <w:sz w:val="20"/>
        </w:rPr>
        <w:t>Paso 4:</w:t>
      </w:r>
      <w:r>
        <w:rPr>
          <w:rFonts w:ascii="Arial" w:hAnsi="Arial"/>
          <w:color w:val="334155"/>
          <w:sz w:val="20"/>
        </w:rPr>
        <w:t>python manage.py loaddata sinetec_fixture_completa.json (siembra de catálogos y programas).</w:t>
      </w:r>
    </w:p>
    <w:p>
      <w:pPr>
        <w:pStyle w:val="ListBullet"/>
        <w:spacing w:before="40" w:after="40" w:line="276" w:lineRule="auto"/>
      </w:pPr>
      <w:r>
        <w:rPr>
          <w:rFonts w:ascii="Arial" w:hAnsi="Arial"/>
          <w:b/>
          <w:color w:val="00324D"/>
          <w:sz w:val="20"/>
        </w:rPr>
        <w:t>Paso 5:</w:t>
      </w:r>
      <w:r>
        <w:rPr>
          <w:rFonts w:ascii="Arial" w:hAnsi="Arial"/>
          <w:color w:val="334155"/>
          <w:sz w:val="20"/>
        </w:rPr>
        <w:t>Inicio de Gunicorn escuchando en el puerto asignado por el balanceador de carga.</w:t>
      </w:r>
    </w:p>
    <w:p>
      <w:pPr>
        <w:keepNext/>
        <w:spacing w:before="320" w:after="120"/>
      </w:pPr>
      <w:r>
        <w:rPr>
          <w:rFonts w:ascii="Arial" w:hAnsi="Arial"/>
          <w:b/>
          <w:color w:val="00324D"/>
          <w:sz w:val="28"/>
        </w:rPr>
        <w:t>7. EVALUACIÓN Y COMPARACIÓN DE ALTERNATIVAS TECNOLÓGICAS</w:t>
      </w:r>
    </w:p>
    <w:p>
      <w:pPr>
        <w:spacing w:before="60" w:after="80" w:line="276" w:lineRule="auto"/>
      </w:pPr>
      <w:r>
        <w:rPr>
          <w:rFonts w:ascii="Arial" w:hAnsi="Arial"/>
          <w:color w:val="334155"/>
          <w:sz w:val="20"/>
        </w:rPr>
        <w:t>En cumplimiento estricto del RAP de ejecución técnica, se analizaron tres dimensiones tecnológicas fundamentales que determinan la viabilidad técnica, operativa y económica de EduNova en el contexto de las instituciones educativas del departamento del Magdalena.</w:t>
      </w:r>
    </w:p>
    <w:p>
      <w:pPr>
        <w:keepNext/>
        <w:spacing w:before="240" w:after="80"/>
      </w:pPr>
      <w:r>
        <w:rPr>
          <w:rFonts w:ascii="Arial" w:hAnsi="Arial"/>
          <w:b/>
          <w:color w:val="2563EB"/>
          <w:sz w:val="23"/>
        </w:rPr>
        <w:t>7.1 Alternativa A: Servidor Físico On-Premise vs Infraestructura Cloud PaaS</w:t>
      </w:r>
    </w:p>
    <w:p>
      <w:pPr>
        <w:pStyle w:val="ListBullet"/>
        <w:spacing w:before="40" w:after="40" w:line="276" w:lineRule="auto"/>
      </w:pPr>
      <w:r>
        <w:rPr>
          <w:rFonts w:ascii="Arial" w:hAnsi="Arial"/>
          <w:b/>
          <w:color w:val="00324D"/>
          <w:sz w:val="20"/>
        </w:rPr>
        <w:t>Opción 1: Servidor Local On-Premise:</w:t>
      </w:r>
      <w:r>
        <w:rPr>
          <w:rFonts w:ascii="Arial" w:hAnsi="Arial"/>
          <w:color w:val="334155"/>
          <w:sz w:val="20"/>
        </w:rPr>
        <w:t>Instalación del sistema en un computador servidor dedicado dentro de la sala de cómputo de la institución educativa, conectado a la red LAN institucional.</w:t>
      </w:r>
    </w:p>
    <w:p>
      <w:pPr>
        <w:pStyle w:val="ListBullet"/>
        <w:spacing w:before="40" w:after="40" w:line="276" w:lineRule="auto"/>
      </w:pPr>
      <w:r>
        <w:rPr>
          <w:rFonts w:ascii="Arial" w:hAnsi="Arial"/>
          <w:b/>
          <w:color w:val="00324D"/>
          <w:sz w:val="20"/>
        </w:rPr>
        <w:t>Opción 2: Plataforma en la Nube PaaS:</w:t>
      </w:r>
      <w:r>
        <w:rPr>
          <w:rFonts w:ascii="Arial" w:hAnsi="Arial"/>
          <w:color w:val="334155"/>
          <w:sz w:val="20"/>
        </w:rPr>
        <w:t>Alojamiento del sistema en una plataforma en la nube administrada (PaaS Render / Railway) con salida permanente a Internet.</w:t>
      </w:r>
    </w:p>
    <w:p>
      <w:pPr>
        <w:keepNext/>
        <w:spacing w:before="240" w:after="80"/>
      </w:pPr>
      <w:r>
        <w:rPr>
          <w:rFonts w:ascii="Arial" w:hAnsi="Arial"/>
          <w:b/>
          <w:color w:val="2563EB"/>
          <w:sz w:val="23"/>
        </w:rPr>
        <w:t>7.2 Alternativa B: Motor MySQL Local vs PostgreSQL vs SQLite</w:t>
      </w:r>
    </w:p>
    <w:p>
      <w:pPr>
        <w:pStyle w:val="ListBullet"/>
        <w:spacing w:before="40" w:after="40" w:line="276" w:lineRule="auto"/>
      </w:pPr>
      <w:r>
        <w:rPr>
          <w:rFonts w:ascii="Arial" w:hAnsi="Arial"/>
          <w:b/>
          <w:color w:val="00324D"/>
          <w:sz w:val="20"/>
        </w:rPr>
        <w:t>Opción 1: MySQL Server 8.0:</w:t>
      </w:r>
      <w:r>
        <w:rPr>
          <w:rFonts w:ascii="Arial" w:hAnsi="Arial"/>
          <w:color w:val="334155"/>
          <w:sz w:val="20"/>
        </w:rPr>
        <w:t>Motor relacional corporativo de alto rendimiento, estándar en el currículo SENA ADSI, excelente rendimiento con tablas InnoDB y soporte robusto de transacciones ACID.</w:t>
      </w:r>
    </w:p>
    <w:p>
      <w:pPr>
        <w:pStyle w:val="ListBullet"/>
        <w:spacing w:before="40" w:after="40" w:line="276" w:lineRule="auto"/>
      </w:pPr>
      <w:r>
        <w:rPr>
          <w:rFonts w:ascii="Arial" w:hAnsi="Arial"/>
          <w:b/>
          <w:color w:val="00324D"/>
          <w:sz w:val="20"/>
        </w:rPr>
        <w:t>Opción 2: PostgreSQL 16:</w:t>
      </w:r>
      <w:r>
        <w:rPr>
          <w:rFonts w:ascii="Arial" w:hAnsi="Arial"/>
          <w:color w:val="334155"/>
          <w:sz w:val="20"/>
        </w:rPr>
        <w:t>Motor de base de datos avanzado de código abierto, estándar de facto en plataformas cloud, alta concurrencia y soporte nativo de tipos de datos complejos.</w:t>
      </w:r>
    </w:p>
    <w:p>
      <w:pPr>
        <w:pStyle w:val="ListBullet"/>
        <w:spacing w:before="40" w:after="40" w:line="276" w:lineRule="auto"/>
      </w:pPr>
      <w:r>
        <w:rPr>
          <w:rFonts w:ascii="Arial" w:hAnsi="Arial"/>
          <w:b/>
          <w:color w:val="00324D"/>
          <w:sz w:val="20"/>
        </w:rPr>
        <w:t>Opción 3: SQLite 3:</w:t>
      </w:r>
      <w:r>
        <w:rPr>
          <w:rFonts w:ascii="Arial" w:hAnsi="Arial"/>
          <w:color w:val="334155"/>
          <w:sz w:val="20"/>
        </w:rPr>
        <w:t>Motor SQL embebido sin proceso servidor separado. Almacena toda la base de datos en un único archivo en disco.</w:t>
      </w:r>
    </w:p>
    <w:p>
      <w:pPr>
        <w:keepNext/>
        <w:spacing w:before="240" w:after="80"/>
      </w:pPr>
      <w:r>
        <w:rPr>
          <w:rFonts w:ascii="Arial" w:hAnsi="Arial"/>
          <w:b/>
          <w:color w:val="2563EB"/>
          <w:sz w:val="23"/>
        </w:rPr>
        <w:t>7.3 Alternativa C: Despliegue PaaS vs VPS Tradicional Linux (Nginx/Gunicorn)</w:t>
      </w:r>
    </w:p>
    <w:p>
      <w:pPr>
        <w:pStyle w:val="ListBullet"/>
        <w:spacing w:before="40" w:after="40" w:line="276" w:lineRule="auto"/>
      </w:pPr>
      <w:r>
        <w:rPr>
          <w:rFonts w:ascii="Arial" w:hAnsi="Arial"/>
          <w:b/>
          <w:color w:val="00324D"/>
          <w:sz w:val="20"/>
        </w:rPr>
        <w:t>Opción 1: PaaS (Render / Railway):</w:t>
      </w:r>
      <w:r>
        <w:rPr>
          <w:rFonts w:ascii="Arial" w:hAnsi="Arial"/>
          <w:color w:val="334155"/>
          <w:sz w:val="20"/>
        </w:rPr>
        <w:t>Despliegue sin administración de sistema operativo. Las actualizaciones del kernel, parches de seguridad y certificados SSL son administrados por el proveedor.</w:t>
      </w:r>
    </w:p>
    <w:p>
      <w:pPr>
        <w:pStyle w:val="ListBullet"/>
        <w:spacing w:before="40" w:after="40" w:line="276" w:lineRule="auto"/>
      </w:pPr>
      <w:r>
        <w:rPr>
          <w:rFonts w:ascii="Arial" w:hAnsi="Arial"/>
          <w:b/>
          <w:color w:val="00324D"/>
          <w:sz w:val="20"/>
        </w:rPr>
        <w:t>Opción 2: Servidor Virtual Privado (VPS Linux):</w:t>
      </w:r>
      <w:r>
        <w:rPr>
          <w:rFonts w:ascii="Arial" w:hAnsi="Arial"/>
          <w:color w:val="334155"/>
          <w:sz w:val="20"/>
        </w:rPr>
        <w:t>Instancia virtual (ej. AWS EC2, DigitalOcean Droplet) donde el equipo debe configurar manualmente Linux Ubuntu, Nginx, Gunicorn, Systemd, Firewall UFW y Certbot.</w:t>
      </w:r>
    </w:p>
    <w:p>
      <w:pPr>
        <w:keepNext/>
        <w:spacing w:before="240" w:after="80"/>
      </w:pPr>
      <w:r>
        <w:rPr>
          <w:rFonts w:ascii="Arial" w:hAnsi="Arial"/>
          <w:b/>
          <w:color w:val="2563EB"/>
          <w:sz w:val="23"/>
        </w:rPr>
        <w:t>7.4 Matriz Técnica Comparativa de Alternativas</w:t>
      </w:r>
    </w:p>
    <w:p>
      <w:pPr>
        <w:spacing w:before="60" w:after="80" w:line="276" w:lineRule="auto"/>
      </w:pPr>
      <w:r>
        <w:rPr>
          <w:rFonts w:ascii="Arial" w:hAnsi="Arial"/>
          <w:color w:val="334155"/>
          <w:sz w:val="20"/>
        </w:rPr>
        <w:t>A continuación se consolida la matriz comparativa de las alternativas analizadas: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2016"/>
            <w:shd w:fill="00324D"/>
            <w:tcMar>
              <w:top w:w="80" w:type="dxa"/>
              <w:bottom w:w="80" w:type="dxa"/>
              <w:left w:w="100" w:type="dxa"/>
              <w:right w:w="100" w:type="dxa"/>
            </w:tcMar>
          </w:tcPr>
          <w:p>
            <w:pPr>
              <w:jc w:val="center"/>
            </w:pPr>
            <w:r>
              <w:rPr>
                <w:rFonts w:ascii="Arial" w:hAnsi="Arial"/>
                <w:b/>
                <w:color w:val="FFFFFF"/>
                <w:sz w:val="17"/>
              </w:rPr>
              <w:t>Criterio Técnico</w:t>
            </w:r>
          </w:p>
        </w:tc>
        <w:tc>
          <w:tcPr>
            <w:tcW w:type="dxa" w:w="1872"/>
            <w:shd w:fill="00324D"/>
            <w:tcMar>
              <w:top w:w="80" w:type="dxa"/>
              <w:bottom w:w="80" w:type="dxa"/>
              <w:left w:w="100" w:type="dxa"/>
              <w:right w:w="100" w:type="dxa"/>
            </w:tcMar>
          </w:tcPr>
          <w:p>
            <w:pPr>
              <w:jc w:val="center"/>
            </w:pPr>
            <w:r>
              <w:rPr>
                <w:rFonts w:ascii="Arial" w:hAnsi="Arial"/>
                <w:b/>
                <w:color w:val="FFFFFF"/>
                <w:sz w:val="17"/>
              </w:rPr>
              <w:t>Servidor Local (LAN)</w:t>
            </w:r>
          </w:p>
        </w:tc>
        <w:tc>
          <w:tcPr>
            <w:tcW w:type="dxa" w:w="1872"/>
            <w:shd w:fill="00324D"/>
            <w:tcMar>
              <w:top w:w="80" w:type="dxa"/>
              <w:bottom w:w="80" w:type="dxa"/>
              <w:left w:w="100" w:type="dxa"/>
              <w:right w:w="100" w:type="dxa"/>
            </w:tcMar>
          </w:tcPr>
          <w:p>
            <w:pPr>
              <w:jc w:val="center"/>
            </w:pPr>
            <w:r>
              <w:rPr>
                <w:rFonts w:ascii="Arial" w:hAnsi="Arial"/>
                <w:b/>
                <w:color w:val="FFFFFF"/>
                <w:sz w:val="17"/>
              </w:rPr>
              <w:t>PaaS Cloud (Render)</w:t>
            </w:r>
          </w:p>
        </w:tc>
        <w:tc>
          <w:tcPr>
            <w:tcW w:type="dxa" w:w="1728"/>
            <w:shd w:fill="00324D"/>
            <w:tcMar>
              <w:top w:w="80" w:type="dxa"/>
              <w:bottom w:w="80" w:type="dxa"/>
              <w:left w:w="100" w:type="dxa"/>
              <w:right w:w="100" w:type="dxa"/>
            </w:tcMar>
          </w:tcPr>
          <w:p>
            <w:pPr>
              <w:jc w:val="center"/>
            </w:pPr>
            <w:r>
              <w:rPr>
                <w:rFonts w:ascii="Arial" w:hAnsi="Arial"/>
                <w:b/>
                <w:color w:val="FFFFFF"/>
                <w:sz w:val="17"/>
              </w:rPr>
              <w:t>MySQL 8.0 (Local)</w:t>
            </w:r>
          </w:p>
        </w:tc>
        <w:tc>
          <w:tcPr>
            <w:tcW w:type="dxa" w:w="1872"/>
            <w:shd w:fill="00324D"/>
            <w:tcMar>
              <w:top w:w="80" w:type="dxa"/>
              <w:bottom w:w="80" w:type="dxa"/>
              <w:left w:w="100" w:type="dxa"/>
              <w:right w:w="100" w:type="dxa"/>
            </w:tcMar>
          </w:tcPr>
          <w:p>
            <w:pPr>
              <w:jc w:val="center"/>
            </w:pPr>
            <w:r>
              <w:rPr>
                <w:rFonts w:ascii="Arial" w:hAnsi="Arial"/>
                <w:b/>
                <w:color w:val="FFFFFF"/>
                <w:sz w:val="17"/>
              </w:rPr>
              <w:t>PostgreSQL (Cloud)</w:t>
            </w:r>
          </w:p>
        </w:tc>
      </w:tr>
      <w:tr>
        <w:tc>
          <w:tcPr>
            <w:tcW w:type="dxa" w:w="2016"/>
            <w:shd w:fill="F8FAFC"/>
            <w:tcMar>
              <w:top w:w="60" w:type="dxa"/>
              <w:bottom w:w="60" w:type="dxa"/>
              <w:left w:w="80" w:type="dxa"/>
              <w:right w:w="80" w:type="dxa"/>
            </w:tcMar>
          </w:tcPr>
          <w:p>
            <w:pPr>
              <w:spacing w:line="252" w:lineRule="auto"/>
            </w:pPr>
            <w:r>
              <w:rPr>
                <w:rFonts w:ascii="Arial" w:hAnsi="Arial"/>
                <w:b/>
                <w:color w:val="00324D"/>
                <w:sz w:val="16"/>
              </w:rPr>
              <w:t>Disponibilidad</w:t>
            </w:r>
          </w:p>
        </w:tc>
        <w:tc>
          <w:tcPr>
            <w:tcW w:type="dxa" w:w="1872"/>
            <w:shd w:fill="F8FAFC"/>
            <w:tcMar>
              <w:top w:w="60" w:type="dxa"/>
              <w:bottom w:w="60" w:type="dxa"/>
              <w:left w:w="80" w:type="dxa"/>
              <w:right w:w="80" w:type="dxa"/>
            </w:tcMar>
          </w:tcPr>
          <w:p>
            <w:pPr>
              <w:spacing w:line="252" w:lineRule="auto"/>
            </w:pPr>
            <w:r>
              <w:rPr>
                <w:rFonts w:ascii="Arial" w:hAnsi="Arial"/>
                <w:color w:val="334155"/>
                <w:sz w:val="16"/>
              </w:rPr>
              <w:t>Baja (restringida a red local o cortes eléctricos)</w:t>
            </w:r>
          </w:p>
        </w:tc>
        <w:tc>
          <w:tcPr>
            <w:tcW w:type="dxa" w:w="1872"/>
            <w:shd w:fill="F8FAFC"/>
            <w:tcMar>
              <w:top w:w="60" w:type="dxa"/>
              <w:bottom w:w="60" w:type="dxa"/>
              <w:left w:w="80" w:type="dxa"/>
              <w:right w:w="80" w:type="dxa"/>
            </w:tcMar>
          </w:tcPr>
          <w:p>
            <w:pPr>
              <w:spacing w:line="252" w:lineRule="auto"/>
            </w:pPr>
            <w:r>
              <w:rPr>
                <w:rFonts w:ascii="Arial" w:hAnsi="Arial"/>
                <w:color w:val="334155"/>
                <w:sz w:val="16"/>
              </w:rPr>
              <w:t>Alta (99.9% uptime global con CDN Let's Encrypt)</w:t>
            </w:r>
          </w:p>
        </w:tc>
        <w:tc>
          <w:tcPr>
            <w:tcW w:type="dxa" w:w="1728"/>
            <w:shd w:fill="F8FAFC"/>
            <w:tcMar>
              <w:top w:w="60" w:type="dxa"/>
              <w:bottom w:w="60" w:type="dxa"/>
              <w:left w:w="80" w:type="dxa"/>
              <w:right w:w="80" w:type="dxa"/>
            </w:tcMar>
          </w:tcPr>
          <w:p>
            <w:pPr>
              <w:spacing w:line="252" w:lineRule="auto"/>
            </w:pPr>
            <w:r>
              <w:rPr>
                <w:rFonts w:ascii="Arial" w:hAnsi="Arial"/>
                <w:color w:val="334155"/>
                <w:sz w:val="16"/>
              </w:rPr>
              <w:t>Local continua (sin depender de internet)</w:t>
            </w:r>
          </w:p>
        </w:tc>
        <w:tc>
          <w:tcPr>
            <w:tcW w:type="dxa" w:w="1872"/>
            <w:shd w:fill="F8FAFC"/>
            <w:tcMar>
              <w:top w:w="60" w:type="dxa"/>
              <w:bottom w:w="60" w:type="dxa"/>
              <w:left w:w="80" w:type="dxa"/>
              <w:right w:w="80" w:type="dxa"/>
            </w:tcMar>
          </w:tcPr>
          <w:p>
            <w:pPr>
              <w:spacing w:line="252" w:lineRule="auto"/>
            </w:pPr>
            <w:r>
              <w:rPr>
                <w:rFonts w:ascii="Arial" w:hAnsi="Arial"/>
                <w:color w:val="334155"/>
                <w:sz w:val="16"/>
              </w:rPr>
              <w:t>Alta disponibilidad en clusters replicados</w:t>
            </w:r>
          </w:p>
        </w:tc>
      </w:tr>
      <w:tr>
        <w:tc>
          <w:tcPr>
            <w:tcW w:type="dxa" w:w="2016"/>
            <w:shd w:fill="FFFFFF"/>
            <w:tcMar>
              <w:top w:w="60" w:type="dxa"/>
              <w:bottom w:w="60" w:type="dxa"/>
              <w:left w:w="80" w:type="dxa"/>
              <w:right w:w="80" w:type="dxa"/>
            </w:tcMar>
          </w:tcPr>
          <w:p>
            <w:pPr>
              <w:spacing w:line="252" w:lineRule="auto"/>
            </w:pPr>
            <w:r>
              <w:rPr>
                <w:rFonts w:ascii="Arial" w:hAnsi="Arial"/>
                <w:b/>
                <w:color w:val="00324D"/>
                <w:sz w:val="16"/>
              </w:rPr>
              <w:t>Costos Aprox.</w:t>
            </w:r>
          </w:p>
        </w:tc>
        <w:tc>
          <w:tcPr>
            <w:tcW w:type="dxa" w:w="1872"/>
            <w:shd w:fill="FFFFFF"/>
            <w:tcMar>
              <w:top w:w="60" w:type="dxa"/>
              <w:bottom w:w="60" w:type="dxa"/>
              <w:left w:w="80" w:type="dxa"/>
              <w:right w:w="80" w:type="dxa"/>
            </w:tcMar>
          </w:tcPr>
          <w:p>
            <w:pPr>
              <w:spacing w:line="252" w:lineRule="auto"/>
            </w:pPr>
            <w:r>
              <w:rPr>
                <w:rFonts w:ascii="Arial" w:hAnsi="Arial"/>
                <w:color w:val="334155"/>
                <w:sz w:val="16"/>
              </w:rPr>
              <w:t>$0 adicional si hay PC; alto costo si compra servidor ($3M+ COP)</w:t>
            </w:r>
          </w:p>
        </w:tc>
        <w:tc>
          <w:tcPr>
            <w:tcW w:type="dxa" w:w="1872"/>
            <w:shd w:fill="FFFFFF"/>
            <w:tcMar>
              <w:top w:w="60" w:type="dxa"/>
              <w:bottom w:w="60" w:type="dxa"/>
              <w:left w:w="80" w:type="dxa"/>
              <w:right w:w="80" w:type="dxa"/>
            </w:tcMar>
          </w:tcPr>
          <w:p>
            <w:pPr>
              <w:spacing w:line="252" w:lineRule="auto"/>
            </w:pPr>
            <w:r>
              <w:rPr>
                <w:rFonts w:ascii="Arial" w:hAnsi="Arial"/>
                <w:color w:val="334155"/>
                <w:sz w:val="16"/>
              </w:rPr>
              <w:t>Gratuito inicial (Plan Free); $7 USD/mes en producción con BD persistente</w:t>
            </w:r>
          </w:p>
        </w:tc>
        <w:tc>
          <w:tcPr>
            <w:tcW w:type="dxa" w:w="1728"/>
            <w:shd w:fill="FFFFFF"/>
            <w:tcMar>
              <w:top w:w="60" w:type="dxa"/>
              <w:bottom w:w="60" w:type="dxa"/>
              <w:left w:w="80" w:type="dxa"/>
              <w:right w:w="80" w:type="dxa"/>
            </w:tcMar>
          </w:tcPr>
          <w:p>
            <w:pPr>
              <w:spacing w:line="252" w:lineRule="auto"/>
            </w:pPr>
            <w:r>
              <w:rPr>
                <w:rFonts w:ascii="Arial" w:hAnsi="Arial"/>
                <w:color w:val="334155"/>
                <w:sz w:val="16"/>
              </w:rPr>
              <w:t>Cero pesos en licencias (Open Source Community)</w:t>
            </w:r>
          </w:p>
        </w:tc>
        <w:tc>
          <w:tcPr>
            <w:tcW w:type="dxa" w:w="1872"/>
            <w:shd w:fill="FFFFFF"/>
            <w:tcMar>
              <w:top w:w="60" w:type="dxa"/>
              <w:bottom w:w="60" w:type="dxa"/>
              <w:left w:w="80" w:type="dxa"/>
              <w:right w:w="80" w:type="dxa"/>
            </w:tcMar>
          </w:tcPr>
          <w:p>
            <w:pPr>
              <w:spacing w:line="252" w:lineRule="auto"/>
            </w:pPr>
            <w:r>
              <w:rPr>
                <w:rFonts w:ascii="Arial" w:hAnsi="Arial"/>
                <w:color w:val="334155"/>
                <w:sz w:val="16"/>
              </w:rPr>
              <w:t>Cero licencias; costo de hosting administrado ($5-15 USD/mes)</w:t>
            </w:r>
          </w:p>
        </w:tc>
      </w:tr>
      <w:tr>
        <w:tc>
          <w:tcPr>
            <w:tcW w:type="dxa" w:w="2016"/>
            <w:shd w:fill="F8FAFC"/>
            <w:tcMar>
              <w:top w:w="60" w:type="dxa"/>
              <w:bottom w:w="60" w:type="dxa"/>
              <w:left w:w="80" w:type="dxa"/>
              <w:right w:w="80" w:type="dxa"/>
            </w:tcMar>
          </w:tcPr>
          <w:p>
            <w:pPr>
              <w:spacing w:line="252" w:lineRule="auto"/>
            </w:pPr>
            <w:r>
              <w:rPr>
                <w:rFonts w:ascii="Arial" w:hAnsi="Arial"/>
                <w:b/>
                <w:color w:val="00324D"/>
                <w:sz w:val="16"/>
              </w:rPr>
              <w:t>Mantenimiento</w:t>
            </w:r>
          </w:p>
        </w:tc>
        <w:tc>
          <w:tcPr>
            <w:tcW w:type="dxa" w:w="1872"/>
            <w:shd w:fill="F8FAFC"/>
            <w:tcMar>
              <w:top w:w="60" w:type="dxa"/>
              <w:bottom w:w="60" w:type="dxa"/>
              <w:left w:w="80" w:type="dxa"/>
              <w:right w:w="80" w:type="dxa"/>
            </w:tcMar>
          </w:tcPr>
          <w:p>
            <w:pPr>
              <w:spacing w:line="252" w:lineRule="auto"/>
            </w:pPr>
            <w:r>
              <w:rPr>
                <w:rFonts w:ascii="Arial" w:hAnsi="Arial"/>
                <w:color w:val="334155"/>
                <w:sz w:val="16"/>
              </w:rPr>
              <w:t>Muy complejo (requiere técnico en sitio, backups manuales)</w:t>
            </w:r>
          </w:p>
        </w:tc>
        <w:tc>
          <w:tcPr>
            <w:tcW w:type="dxa" w:w="1872"/>
            <w:shd w:fill="F8FAFC"/>
            <w:tcMar>
              <w:top w:w="60" w:type="dxa"/>
              <w:bottom w:w="60" w:type="dxa"/>
              <w:left w:w="80" w:type="dxa"/>
              <w:right w:w="80" w:type="dxa"/>
            </w:tcMar>
          </w:tcPr>
          <w:p>
            <w:pPr>
              <w:spacing w:line="252" w:lineRule="auto"/>
            </w:pPr>
            <w:r>
              <w:rPr>
                <w:rFonts w:ascii="Arial" w:hAnsi="Arial"/>
                <w:color w:val="334155"/>
                <w:sz w:val="16"/>
              </w:rPr>
              <w:t>Bajo (actualizaciones automáticas con Git Push)</w:t>
            </w:r>
          </w:p>
        </w:tc>
        <w:tc>
          <w:tcPr>
            <w:tcW w:type="dxa" w:w="1728"/>
            <w:shd w:fill="F8FAFC"/>
            <w:tcMar>
              <w:top w:w="60" w:type="dxa"/>
              <w:bottom w:w="60" w:type="dxa"/>
              <w:left w:w="80" w:type="dxa"/>
              <w:right w:w="80" w:type="dxa"/>
            </w:tcMar>
          </w:tcPr>
          <w:p>
            <w:pPr>
              <w:spacing w:line="252" w:lineRule="auto"/>
            </w:pPr>
            <w:r>
              <w:rPr>
                <w:rFonts w:ascii="Arial" w:hAnsi="Arial"/>
                <w:color w:val="334155"/>
                <w:sz w:val="16"/>
              </w:rPr>
              <w:t>Medio (mantenimiento de servicio Windows/Linux)</w:t>
            </w:r>
          </w:p>
        </w:tc>
        <w:tc>
          <w:tcPr>
            <w:tcW w:type="dxa" w:w="1872"/>
            <w:shd w:fill="F8FAFC"/>
            <w:tcMar>
              <w:top w:w="60" w:type="dxa"/>
              <w:bottom w:w="60" w:type="dxa"/>
              <w:left w:w="80" w:type="dxa"/>
              <w:right w:w="80" w:type="dxa"/>
            </w:tcMar>
          </w:tcPr>
          <w:p>
            <w:pPr>
              <w:spacing w:line="252" w:lineRule="auto"/>
            </w:pPr>
            <w:r>
              <w:rPr>
                <w:rFonts w:ascii="Arial" w:hAnsi="Arial"/>
                <w:color w:val="334155"/>
                <w:sz w:val="16"/>
              </w:rPr>
              <w:t>Bajo (gestión automática por el proveedor cloud)</w:t>
            </w:r>
          </w:p>
        </w:tc>
      </w:tr>
      <w:tr>
        <w:tc>
          <w:tcPr>
            <w:tcW w:type="dxa" w:w="2016"/>
            <w:shd w:fill="FFFFFF"/>
            <w:tcMar>
              <w:top w:w="60" w:type="dxa"/>
              <w:bottom w:w="60" w:type="dxa"/>
              <w:left w:w="80" w:type="dxa"/>
              <w:right w:w="80" w:type="dxa"/>
            </w:tcMar>
          </w:tcPr>
          <w:p>
            <w:pPr>
              <w:spacing w:line="252" w:lineRule="auto"/>
            </w:pPr>
            <w:r>
              <w:rPr>
                <w:rFonts w:ascii="Arial" w:hAnsi="Arial"/>
                <w:b/>
                <w:color w:val="00324D"/>
                <w:sz w:val="16"/>
              </w:rPr>
              <w:t>Seguridad</w:t>
            </w:r>
          </w:p>
        </w:tc>
        <w:tc>
          <w:tcPr>
            <w:tcW w:type="dxa" w:w="1872"/>
            <w:shd w:fill="FFFFFF"/>
            <w:tcMar>
              <w:top w:w="60" w:type="dxa"/>
              <w:bottom w:w="60" w:type="dxa"/>
              <w:left w:w="80" w:type="dxa"/>
              <w:right w:w="80" w:type="dxa"/>
            </w:tcMar>
          </w:tcPr>
          <w:p>
            <w:pPr>
              <w:spacing w:line="252" w:lineRule="auto"/>
            </w:pPr>
            <w:r>
              <w:rPr>
                <w:rFonts w:ascii="Arial" w:hAnsi="Arial"/>
                <w:color w:val="334155"/>
                <w:sz w:val="16"/>
              </w:rPr>
              <w:t>Vulnerable a robo físico de hardware y apagones</w:t>
            </w:r>
          </w:p>
        </w:tc>
        <w:tc>
          <w:tcPr>
            <w:tcW w:type="dxa" w:w="1872"/>
            <w:shd w:fill="FFFFFF"/>
            <w:tcMar>
              <w:top w:w="60" w:type="dxa"/>
              <w:bottom w:w="60" w:type="dxa"/>
              <w:left w:w="80" w:type="dxa"/>
              <w:right w:w="80" w:type="dxa"/>
            </w:tcMar>
          </w:tcPr>
          <w:p>
            <w:pPr>
              <w:spacing w:line="252" w:lineRule="auto"/>
            </w:pPr>
            <w:r>
              <w:rPr>
                <w:rFonts w:ascii="Arial" w:hAnsi="Arial"/>
                <w:color w:val="334155"/>
                <w:sz w:val="16"/>
              </w:rPr>
              <w:t>Cifrado TLS/SSL forzado, mitigación DDoS perimetral</w:t>
            </w:r>
          </w:p>
        </w:tc>
        <w:tc>
          <w:tcPr>
            <w:tcW w:type="dxa" w:w="1728"/>
            <w:shd w:fill="FFFFFF"/>
            <w:tcMar>
              <w:top w:w="60" w:type="dxa"/>
              <w:bottom w:w="60" w:type="dxa"/>
              <w:left w:w="80" w:type="dxa"/>
              <w:right w:w="80" w:type="dxa"/>
            </w:tcMar>
          </w:tcPr>
          <w:p>
            <w:pPr>
              <w:spacing w:line="252" w:lineRule="auto"/>
            </w:pPr>
            <w:r>
              <w:rPr>
                <w:rFonts w:ascii="Arial" w:hAnsi="Arial"/>
                <w:color w:val="334155"/>
                <w:sz w:val="16"/>
              </w:rPr>
              <w:t>Seguro con autenticación de credenciales robustas</w:t>
            </w:r>
          </w:p>
        </w:tc>
        <w:tc>
          <w:tcPr>
            <w:tcW w:type="dxa" w:w="1872"/>
            <w:shd w:fill="FFFFFF"/>
            <w:tcMar>
              <w:top w:w="60" w:type="dxa"/>
              <w:bottom w:w="60" w:type="dxa"/>
              <w:left w:w="80" w:type="dxa"/>
              <w:right w:w="80" w:type="dxa"/>
            </w:tcMar>
          </w:tcPr>
          <w:p>
            <w:pPr>
              <w:spacing w:line="252" w:lineRule="auto"/>
            </w:pPr>
            <w:r>
              <w:rPr>
                <w:rFonts w:ascii="Arial" w:hAnsi="Arial"/>
                <w:color w:val="334155"/>
                <w:sz w:val="16"/>
              </w:rPr>
              <w:t>Seguridad corporativa avanzada y aislamiento de VPC</w:t>
            </w:r>
          </w:p>
        </w:tc>
      </w:tr>
      <w:tr>
        <w:tc>
          <w:tcPr>
            <w:tcW w:type="dxa" w:w="2016"/>
            <w:shd w:fill="F8FAFC"/>
            <w:tcMar>
              <w:top w:w="60" w:type="dxa"/>
              <w:bottom w:w="60" w:type="dxa"/>
              <w:left w:w="80" w:type="dxa"/>
              <w:right w:w="80" w:type="dxa"/>
            </w:tcMar>
          </w:tcPr>
          <w:p>
            <w:pPr>
              <w:spacing w:line="252" w:lineRule="auto"/>
            </w:pPr>
            <w:r>
              <w:rPr>
                <w:rFonts w:ascii="Arial" w:hAnsi="Arial"/>
                <w:b/>
                <w:color w:val="00324D"/>
                <w:sz w:val="16"/>
              </w:rPr>
              <w:t>Compatibilidad</w:t>
            </w:r>
          </w:p>
        </w:tc>
        <w:tc>
          <w:tcPr>
            <w:tcW w:type="dxa" w:w="1872"/>
            <w:shd w:fill="F8FAFC"/>
            <w:tcMar>
              <w:top w:w="60" w:type="dxa"/>
              <w:bottom w:w="60" w:type="dxa"/>
              <w:left w:w="80" w:type="dxa"/>
              <w:right w:w="80" w:type="dxa"/>
            </w:tcMar>
          </w:tcPr>
          <w:p>
            <w:pPr>
              <w:spacing w:line="252" w:lineRule="auto"/>
            </w:pPr>
            <w:r>
              <w:rPr>
                <w:rFonts w:ascii="Arial" w:hAnsi="Arial"/>
                <w:color w:val="334155"/>
                <w:sz w:val="16"/>
              </w:rPr>
              <w:t>Requiere configuración IP estática o router</w:t>
            </w:r>
          </w:p>
        </w:tc>
        <w:tc>
          <w:tcPr>
            <w:tcW w:type="dxa" w:w="1872"/>
            <w:shd w:fill="F8FAFC"/>
            <w:tcMar>
              <w:top w:w="60" w:type="dxa"/>
              <w:bottom w:w="60" w:type="dxa"/>
              <w:left w:w="80" w:type="dxa"/>
              <w:right w:w="80" w:type="dxa"/>
            </w:tcMar>
          </w:tcPr>
          <w:p>
            <w:pPr>
              <w:spacing w:line="252" w:lineRule="auto"/>
            </w:pPr>
            <w:r>
              <w:rPr>
                <w:rFonts w:ascii="Arial" w:hAnsi="Arial"/>
                <w:color w:val="334155"/>
                <w:sz w:val="16"/>
              </w:rPr>
              <w:t>Acceso universal desde navegadores móviles y PC</w:t>
            </w:r>
          </w:p>
        </w:tc>
        <w:tc>
          <w:tcPr>
            <w:tcW w:type="dxa" w:w="1728"/>
            <w:shd w:fill="F8FAFC"/>
            <w:tcMar>
              <w:top w:w="60" w:type="dxa"/>
              <w:bottom w:w="60" w:type="dxa"/>
              <w:left w:w="80" w:type="dxa"/>
              <w:right w:w="80" w:type="dxa"/>
            </w:tcMar>
          </w:tcPr>
          <w:p>
            <w:pPr>
              <w:spacing w:line="252" w:lineRule="auto"/>
            </w:pPr>
            <w:r>
              <w:rPr>
                <w:rFonts w:ascii="Arial" w:hAnsi="Arial"/>
                <w:color w:val="334155"/>
                <w:sz w:val="16"/>
              </w:rPr>
              <w:t>100% compatible con modelos relacionales Django</w:t>
            </w:r>
          </w:p>
        </w:tc>
        <w:tc>
          <w:tcPr>
            <w:tcW w:type="dxa" w:w="1872"/>
            <w:shd w:fill="F8FAFC"/>
            <w:tcMar>
              <w:top w:w="60" w:type="dxa"/>
              <w:bottom w:w="60" w:type="dxa"/>
              <w:left w:w="80" w:type="dxa"/>
              <w:right w:w="80" w:type="dxa"/>
            </w:tcMar>
          </w:tcPr>
          <w:p>
            <w:pPr>
              <w:spacing w:line="252" w:lineRule="auto"/>
            </w:pPr>
            <w:r>
              <w:rPr>
                <w:rFonts w:ascii="Arial" w:hAnsi="Arial"/>
                <w:color w:val="334155"/>
                <w:sz w:val="16"/>
              </w:rPr>
              <w:t>100% nativo con Django y extensiones complejas</w:t>
            </w:r>
          </w:p>
        </w:tc>
      </w:tr>
      <w:tr>
        <w:tc>
          <w:tcPr>
            <w:tcW w:type="dxa" w:w="2016"/>
            <w:shd w:fill="FFFFFF"/>
            <w:tcMar>
              <w:top w:w="60" w:type="dxa"/>
              <w:bottom w:w="60" w:type="dxa"/>
              <w:left w:w="80" w:type="dxa"/>
              <w:right w:w="80" w:type="dxa"/>
            </w:tcMar>
          </w:tcPr>
          <w:p>
            <w:pPr>
              <w:spacing w:line="252" w:lineRule="auto"/>
            </w:pPr>
            <w:r>
              <w:rPr>
                <w:rFonts w:ascii="Arial" w:hAnsi="Arial"/>
                <w:b/>
                <w:color w:val="00324D"/>
                <w:sz w:val="16"/>
              </w:rPr>
              <w:t>Respaldo / RPO</w:t>
            </w:r>
          </w:p>
        </w:tc>
        <w:tc>
          <w:tcPr>
            <w:tcW w:type="dxa" w:w="1872"/>
            <w:shd w:fill="FFFFFF"/>
            <w:tcMar>
              <w:top w:w="60" w:type="dxa"/>
              <w:bottom w:w="60" w:type="dxa"/>
              <w:left w:w="80" w:type="dxa"/>
              <w:right w:w="80" w:type="dxa"/>
            </w:tcMar>
          </w:tcPr>
          <w:p>
            <w:pPr>
              <w:spacing w:line="252" w:lineRule="auto"/>
            </w:pPr>
            <w:r>
              <w:rPr>
                <w:rFonts w:ascii="Arial" w:hAnsi="Arial"/>
                <w:color w:val="334155"/>
                <w:sz w:val="16"/>
              </w:rPr>
              <w:t>Manual vía mysqldump a disco externo</w:t>
            </w:r>
          </w:p>
        </w:tc>
        <w:tc>
          <w:tcPr>
            <w:tcW w:type="dxa" w:w="1872"/>
            <w:shd w:fill="FFFFFF"/>
            <w:tcMar>
              <w:top w:w="60" w:type="dxa"/>
              <w:bottom w:w="60" w:type="dxa"/>
              <w:left w:w="80" w:type="dxa"/>
              <w:right w:w="80" w:type="dxa"/>
            </w:tcMar>
          </w:tcPr>
          <w:p>
            <w:pPr>
              <w:spacing w:line="252" w:lineRule="auto"/>
            </w:pPr>
            <w:r>
              <w:rPr>
                <w:rFonts w:ascii="Arial" w:hAnsi="Arial"/>
                <w:color w:val="334155"/>
                <w:sz w:val="16"/>
              </w:rPr>
              <w:t>Backups automáticos programables y réplicas</w:t>
            </w:r>
          </w:p>
        </w:tc>
        <w:tc>
          <w:tcPr>
            <w:tcW w:type="dxa" w:w="1728"/>
            <w:shd w:fill="FFFFFF"/>
            <w:tcMar>
              <w:top w:w="60" w:type="dxa"/>
              <w:bottom w:w="60" w:type="dxa"/>
              <w:left w:w="80" w:type="dxa"/>
              <w:right w:w="80" w:type="dxa"/>
            </w:tcMar>
          </w:tcPr>
          <w:p>
            <w:pPr>
              <w:spacing w:line="252" w:lineRule="auto"/>
            </w:pPr>
            <w:r>
              <w:rPr>
                <w:rFonts w:ascii="Arial" w:hAnsi="Arial"/>
                <w:color w:val="334155"/>
                <w:sz w:val="16"/>
              </w:rPr>
              <w:t>Exportación SQL diaria a disco duro</w:t>
            </w:r>
          </w:p>
        </w:tc>
        <w:tc>
          <w:tcPr>
            <w:tcW w:type="dxa" w:w="1872"/>
            <w:shd w:fill="FFFFFF"/>
            <w:tcMar>
              <w:top w:w="60" w:type="dxa"/>
              <w:bottom w:w="60" w:type="dxa"/>
              <w:left w:w="80" w:type="dxa"/>
              <w:right w:w="80" w:type="dxa"/>
            </w:tcMar>
          </w:tcPr>
          <w:p>
            <w:pPr>
              <w:spacing w:line="252" w:lineRule="auto"/>
            </w:pPr>
            <w:r>
              <w:rPr>
                <w:rFonts w:ascii="Arial" w:hAnsi="Arial"/>
                <w:color w:val="334155"/>
                <w:sz w:val="16"/>
              </w:rPr>
              <w:t>Instantáneas (snapshots) y Point-in-Time Recovery</w:t>
            </w:r>
          </w:p>
        </w:tc>
      </w:tr>
    </w:tbl>
    <w:p/>
    <w:p>
      <w:pPr>
        <w:keepNext/>
        <w:spacing w:before="320" w:after="120"/>
      </w:pPr>
      <w:r>
        <w:rPr>
          <w:rFonts w:ascii="Arial" w:hAnsi="Arial"/>
          <w:b/>
          <w:color w:val="00324D"/>
          <w:sz w:val="28"/>
        </w:rPr>
        <w:t>8. JUSTIFICACIÓN DE LA SOLUCIÓN TECNOLÓGICA APLICADA</w:t>
      </w:r>
    </w:p>
    <w:p>
      <w:pPr>
        <w:spacing w:before="60" w:after="80" w:line="276" w:lineRule="auto"/>
      </w:pPr>
      <w:r>
        <w:rPr>
          <w:rFonts w:ascii="Arial" w:hAnsi="Arial"/>
          <w:color w:val="334155"/>
          <w:sz w:val="20"/>
        </w:rPr>
        <w:t>La arquitectura híbrida adoptada actualmente por EduNova —desarrollo local sobre MySQL Server 8.0 y despliegue público en la nube sobre Render PaaS— resulta técnicamente la más apropiada para el contexto formativo del SENA y las restricciones reales de las instituciones educativas del Magdalena:</w:t>
      </w:r>
    </w:p>
    <w:p>
      <w:pPr>
        <w:pStyle w:val="ListBullet"/>
        <w:spacing w:before="40" w:after="40" w:line="276" w:lineRule="auto"/>
      </w:pPr>
      <w:r>
        <w:rPr>
          <w:rFonts w:ascii="Arial" w:hAnsi="Arial"/>
          <w:b/>
          <w:color w:val="00324D"/>
          <w:sz w:val="20"/>
        </w:rPr>
        <w:t>1. Pertinencia del Entorno Local MySQL:</w:t>
      </w:r>
      <w:r>
        <w:rPr>
          <w:rFonts w:ascii="Arial" w:hAnsi="Arial"/>
          <w:color w:val="334155"/>
          <w:sz w:val="20"/>
        </w:rPr>
        <w:t>Permite que los aprendices se formen en el estándar corporativo relacional de la industria (MySQL con lenguaje SQL estándar, integridad referencial y procedimientos de exportación) sin incurrir en costos económicos.</w:t>
      </w:r>
    </w:p>
    <w:p>
      <w:pPr>
        <w:pStyle w:val="ListBullet"/>
        <w:spacing w:before="40" w:after="40" w:line="276" w:lineRule="auto"/>
      </w:pPr>
      <w:r>
        <w:rPr>
          <w:rFonts w:ascii="Arial" w:hAnsi="Arial"/>
          <w:b/>
          <w:color w:val="00324D"/>
          <w:sz w:val="20"/>
        </w:rPr>
        <w:t>2. Pertinencia del Despliegue Cloud en Render:</w:t>
      </w:r>
      <w:r>
        <w:rPr>
          <w:rFonts w:ascii="Arial" w:hAnsi="Arial"/>
          <w:color w:val="334155"/>
          <w:sz w:val="20"/>
        </w:rPr>
        <w:t>Elimina la necesidad de que los colegios adquieran costosos servidores físicos locales ni mantengan personal de infraestructura 24/7. El despliegue automatizado desde GitHub (GitOps) garantiza que cualquier mejora en el código se propague en minutos con certificado SSL/TLS incluido.</w:t>
      </w:r>
    </w:p>
    <w:p>
      <w:pPr>
        <w:pStyle w:val="ListBullet"/>
        <w:spacing w:before="40" w:after="40" w:line="276" w:lineRule="auto"/>
      </w:pPr>
      <w:r>
        <w:rPr>
          <w:rFonts w:ascii="Arial" w:hAnsi="Arial"/>
          <w:b/>
          <w:color w:val="00324D"/>
          <w:sz w:val="20"/>
        </w:rPr>
        <w:t>3. Flexibilidad Arquitectónica comprobada:</w:t>
      </w:r>
      <w:r>
        <w:rPr>
          <w:rFonts w:ascii="Arial" w:hAnsi="Arial"/>
          <w:color w:val="334155"/>
          <w:sz w:val="20"/>
        </w:rPr>
        <w:t>La implementación de un selector inteligente de base de datos en settings.py otorga al sistema alta resiliencia: si existe una URL de PostgreSQL en la nube, se conecta; si se ejecuta en el servidor local de la institución, utiliza MySQL; y si se ejecuta en una máquina sin servidor de base de datos, recurre de forma segura a SQLite.</w:t>
      </w:r>
    </w:p>
    <w:p>
      <w:pPr>
        <w:spacing w:before="60" w:after="80" w:line="276" w:lineRule="auto"/>
      </w:pPr>
      <w:r>
        <w:rPr>
          <w:rFonts w:ascii="Arial" w:hAnsi="Arial"/>
          <w:b/>
          <w:color w:val="00324D"/>
          <w:sz w:val="20"/>
        </w:rPr>
        <w:t xml:space="preserve">Nota de Transparencia Técnica: </w:t>
      </w:r>
      <w:r>
        <w:rPr>
          <w:rFonts w:ascii="Arial" w:hAnsi="Arial"/>
          <w:color w:val="334155"/>
          <w:sz w:val="20"/>
        </w:rPr>
        <w:t>Aclaración de ingeniería: Aunque la solución actual es sólida para sustentación y pilotos controlados, en un despliegue de producción masiva institucional para miles de estudiantes concurrentes, se requerirá contratar una base de datos PostgreSQL dedicada en la nube (ej. Render Postgres o Neon DB) para evitar el reposo del servicio gratuito de Render.</w:t>
      </w:r>
    </w:p>
    <w:p>
      <w:pPr>
        <w:keepNext/>
        <w:spacing w:before="320" w:after="120"/>
      </w:pPr>
      <w:r>
        <w:rPr>
          <w:rFonts w:ascii="Arial" w:hAnsi="Arial"/>
          <w:b/>
          <w:color w:val="00324D"/>
          <w:sz w:val="28"/>
        </w:rPr>
        <w:t>9. SEGURIDAD INFORMÁTICA, CONTROL DE ACCESOS Y HARDENING</w:t>
      </w:r>
    </w:p>
    <w:p>
      <w:pPr>
        <w:keepNext/>
        <w:spacing w:before="240" w:after="80"/>
      </w:pPr>
      <w:r>
        <w:rPr>
          <w:rFonts w:ascii="Arial" w:hAnsi="Arial"/>
          <w:b/>
          <w:color w:val="2563EB"/>
          <w:sz w:val="23"/>
        </w:rPr>
        <w:t>9.1 Modelo de Control de Acceso Basado en Roles (RBAC)</w:t>
      </w:r>
    </w:p>
    <w:p>
      <w:pPr>
        <w:spacing w:before="60" w:after="80" w:line="276" w:lineRule="auto"/>
      </w:pPr>
      <w:r>
        <w:rPr>
          <w:rFonts w:ascii="Arial" w:hAnsi="Arial"/>
          <w:color w:val="334155"/>
          <w:sz w:val="20"/>
        </w:rPr>
        <w:t>EduNova implementa un control de acceso basado en roles (Role-Based Access Control) estricto. La autenticación se realiza mediante la tabla estándar auth_user extendida con el modelo PerfilUsuario y la entidad Rol. Se han comprobado y auditado seis perfiles institucionales diferenciados:</w:t>
      </w:r>
    </w:p>
    <w:p>
      <w:pPr>
        <w:pStyle w:val="ListBullet"/>
        <w:spacing w:before="40" w:after="40" w:line="276" w:lineRule="auto"/>
      </w:pPr>
      <w:r>
        <w:rPr>
          <w:rFonts w:ascii="Arial" w:hAnsi="Arial"/>
          <w:b/>
          <w:color w:val="00324D"/>
          <w:sz w:val="20"/>
        </w:rPr>
        <w:t>1. Administrador General (/dashboard/):</w:t>
      </w:r>
      <w:r>
        <w:rPr>
          <w:rFonts w:ascii="Arial" w:hAnsi="Arial"/>
          <w:color w:val="334155"/>
          <w:sz w:val="20"/>
        </w:rPr>
        <w:t>Acceso integral a métricas globales de matrícula, administración de programas técnicos, asignación de carga docente, auditoría de usuarios y configuración del sistema.</w:t>
      </w:r>
    </w:p>
    <w:p>
      <w:pPr>
        <w:pStyle w:val="ListBullet"/>
        <w:spacing w:before="40" w:after="40" w:line="276" w:lineRule="auto"/>
      </w:pPr>
      <w:r>
        <w:rPr>
          <w:rFonts w:ascii="Arial" w:hAnsi="Arial"/>
          <w:b/>
          <w:color w:val="00324D"/>
          <w:sz w:val="20"/>
        </w:rPr>
        <w:t>2. Rectoría (/rectoria/):</w:t>
      </w:r>
      <w:r>
        <w:rPr>
          <w:rFonts w:ascii="Arial" w:hAnsi="Arial"/>
          <w:color w:val="334155"/>
          <w:sz w:val="20"/>
        </w:rPr>
        <w:t>Acceso directivo a reportes consolidados de aprobación, porcentaje de juicios evaluativos por ficha y estadísticas institucionales.</w:t>
      </w:r>
    </w:p>
    <w:p>
      <w:pPr>
        <w:pStyle w:val="ListBullet"/>
        <w:spacing w:before="40" w:after="40" w:line="276" w:lineRule="auto"/>
      </w:pPr>
      <w:r>
        <w:rPr>
          <w:rFonts w:ascii="Arial" w:hAnsi="Arial"/>
          <w:b/>
          <w:color w:val="00324D"/>
          <w:sz w:val="20"/>
        </w:rPr>
        <w:t>3. Secretaría Académica (/secretaria/):</w:t>
      </w:r>
      <w:r>
        <w:rPr>
          <w:rFonts w:ascii="Arial" w:hAnsi="Arial"/>
          <w:color w:val="334155"/>
          <w:sz w:val="20"/>
        </w:rPr>
        <w:t>Gestión de nuevas matrículas escolares (/nueva_matricula/), registro de estudiantes y emisión de certificados y actas oficiales.</w:t>
      </w:r>
    </w:p>
    <w:p>
      <w:pPr>
        <w:pStyle w:val="ListBullet"/>
        <w:spacing w:before="40" w:after="40" w:line="276" w:lineRule="auto"/>
      </w:pPr>
      <w:r>
        <w:rPr>
          <w:rFonts w:ascii="Arial" w:hAnsi="Arial"/>
          <w:b/>
          <w:color w:val="00324D"/>
          <w:sz w:val="20"/>
        </w:rPr>
        <w:t>4. Docente / Instructor (/docente/):</w:t>
      </w:r>
      <w:r>
        <w:rPr>
          <w:rFonts w:ascii="Arial" w:hAnsi="Arial"/>
          <w:color w:val="334155"/>
          <w:sz w:val="20"/>
        </w:rPr>
        <w:t>Registro de calificaciones por periodo y RAP, toma de asistencia por bloque horario, publicación de actividades y consulta de listas de estudiantes a cargo.</w:t>
      </w:r>
    </w:p>
    <w:p>
      <w:pPr>
        <w:pStyle w:val="ListBullet"/>
        <w:spacing w:before="40" w:after="40" w:line="276" w:lineRule="auto"/>
      </w:pPr>
      <w:r>
        <w:rPr>
          <w:rFonts w:ascii="Arial" w:hAnsi="Arial"/>
          <w:b/>
          <w:color w:val="00324D"/>
          <w:sz w:val="20"/>
        </w:rPr>
        <w:t>5. Estudiante / Aprendiz (/estudiante/):</w:t>
      </w:r>
      <w:r>
        <w:rPr>
          <w:rFonts w:ascii="Arial" w:hAnsi="Arial"/>
          <w:color w:val="334155"/>
          <w:sz w:val="20"/>
        </w:rPr>
        <w:t>Consulta de boletines de calificaciones, visualización de horario coordinado, entrega de actividades, alertas y carnet digital interactivo.</w:t>
      </w:r>
    </w:p>
    <w:p>
      <w:pPr>
        <w:pStyle w:val="ListBullet"/>
        <w:spacing w:before="40" w:after="40" w:line="276" w:lineRule="auto"/>
      </w:pPr>
      <w:r>
        <w:rPr>
          <w:rFonts w:ascii="Arial" w:hAnsi="Arial"/>
          <w:b/>
          <w:color w:val="00324D"/>
          <w:sz w:val="20"/>
        </w:rPr>
        <w:t>6. Acudiente / Familia (/familia/):</w:t>
      </w:r>
      <w:r>
        <w:rPr>
          <w:rFonts w:ascii="Arial" w:hAnsi="Arial"/>
          <w:color w:val="334155"/>
          <w:sz w:val="20"/>
        </w:rPr>
        <w:t>Seguimiento académico y disciplinario de sus hijos/acudidos vinculados, consulta de circulares y comprobantes de pensión escolar.</w:t>
      </w:r>
    </w:p>
    <w:p>
      <w:pPr>
        <w:keepNext/>
        <w:spacing w:before="240" w:after="80"/>
      </w:pPr>
      <w:r>
        <w:rPr>
          <w:rFonts w:ascii="Arial" w:hAnsi="Arial"/>
          <w:b/>
          <w:color w:val="2563EB"/>
          <w:sz w:val="23"/>
        </w:rPr>
        <w:t>9.2 Medidas de Seguridad Implementadas y Comprobadas</w:t>
      </w:r>
    </w:p>
    <w:p>
      <w:pPr>
        <w:pStyle w:val="ListBullet"/>
        <w:spacing w:before="40" w:after="40" w:line="276" w:lineRule="auto"/>
      </w:pPr>
      <w:r>
        <w:rPr>
          <w:rFonts w:ascii="Arial" w:hAnsi="Arial"/>
          <w:b/>
          <w:color w:val="00324D"/>
          <w:sz w:val="20"/>
        </w:rPr>
        <w:t>1. Protección CSRF:</w:t>
      </w:r>
      <w:r>
        <w:rPr>
          <w:rFonts w:ascii="Arial" w:hAnsi="Arial"/>
          <w:color w:val="334155"/>
          <w:sz w:val="20"/>
        </w:rPr>
        <w:t>Protección contra ataques Cross-Site Request Forgery mediante la inyección obligatoria del token {% csrf_token %} en todos los formularios POST, middleware CsrfViewMiddleware y vista personalizada csrf_failure.</w:t>
      </w:r>
    </w:p>
    <w:p>
      <w:pPr>
        <w:pStyle w:val="ListBullet"/>
        <w:spacing w:before="40" w:after="40" w:line="276" w:lineRule="auto"/>
      </w:pPr>
      <w:r>
        <w:rPr>
          <w:rFonts w:ascii="Arial" w:hAnsi="Arial"/>
          <w:b/>
          <w:color w:val="00324D"/>
          <w:sz w:val="20"/>
        </w:rPr>
        <w:t>2. Prevención de Clickjacking:</w:t>
      </w:r>
      <w:r>
        <w:rPr>
          <w:rFonts w:ascii="Arial" w:hAnsi="Arial"/>
          <w:color w:val="334155"/>
          <w:sz w:val="20"/>
        </w:rPr>
        <w:t>Activación del XFrameOptionsMiddleware con directiva X_FRAME_OPTIONS = 'DENY' para impedir que el sistema sea incrustado en iframes maliciosos.</w:t>
      </w:r>
    </w:p>
    <w:p>
      <w:pPr>
        <w:pStyle w:val="ListBullet"/>
        <w:spacing w:before="40" w:after="40" w:line="276" w:lineRule="auto"/>
      </w:pPr>
      <w:r>
        <w:rPr>
          <w:rFonts w:ascii="Arial" w:hAnsi="Arial"/>
          <w:b/>
          <w:color w:val="00324D"/>
          <w:sz w:val="20"/>
        </w:rPr>
        <w:t>3. Cifrado de Contraseñas:</w:t>
      </w:r>
      <w:r>
        <w:rPr>
          <w:rFonts w:ascii="Arial" w:hAnsi="Arial"/>
          <w:color w:val="334155"/>
          <w:sz w:val="20"/>
        </w:rPr>
        <w:t>Las contraseñas de todos los usuarios se almacenan mediante el algoritmo criptográfico PBKDF2 con hash SHA-256 e iteraciones múltiples de salting.</w:t>
      </w:r>
    </w:p>
    <w:p>
      <w:pPr>
        <w:pStyle w:val="ListBullet"/>
        <w:spacing w:before="40" w:after="40" w:line="276" w:lineRule="auto"/>
      </w:pPr>
      <w:r>
        <w:rPr>
          <w:rFonts w:ascii="Arial" w:hAnsi="Arial"/>
          <w:b/>
          <w:color w:val="00324D"/>
          <w:sz w:val="20"/>
        </w:rPr>
        <w:t>4. Prevención de Inyección SQL (SQLi):</w:t>
      </w:r>
      <w:r>
        <w:rPr>
          <w:rFonts w:ascii="Arial" w:hAnsi="Arial"/>
          <w:color w:val="334155"/>
          <w:sz w:val="20"/>
        </w:rPr>
        <w:t>El ORM de Django parametriza de manera nativa todas las consultas SQL, neutralizando intentos de inyección de código malicioso en parámetros de entrada.</w:t>
      </w:r>
    </w:p>
    <w:p>
      <w:pPr>
        <w:pStyle w:val="ListBullet"/>
        <w:spacing w:before="40" w:after="40" w:line="276" w:lineRule="auto"/>
      </w:pPr>
      <w:r>
        <w:rPr>
          <w:rFonts w:ascii="Arial" w:hAnsi="Arial"/>
          <w:b/>
          <w:color w:val="00324D"/>
          <w:sz w:val="20"/>
        </w:rPr>
        <w:t>5. XSS y Sniffing:</w:t>
      </w:r>
      <w:r>
        <w:rPr>
          <w:rFonts w:ascii="Arial" w:hAnsi="Arial"/>
          <w:color w:val="334155"/>
          <w:sz w:val="20"/>
        </w:rPr>
        <w:t>Filtro de seguridad contra scripts maliciosos y cabecera 'nosniff' para evitar interpretación errónea de archivos adjuntos.</w:t>
      </w:r>
    </w:p>
    <w:p>
      <w:pPr>
        <w:keepNext/>
        <w:spacing w:before="240" w:after="80"/>
      </w:pPr>
      <w:r>
        <w:rPr>
          <w:rFonts w:ascii="Arial" w:hAnsi="Arial"/>
          <w:b/>
          <w:color w:val="2563EB"/>
          <w:sz w:val="23"/>
        </w:rPr>
        <w:t>9.3 Carnetización Inteligente con QR Token y Rotación Criptográfica</w:t>
      </w:r>
    </w:p>
    <w:p>
      <w:pPr>
        <w:spacing w:before="60" w:after="80" w:line="276" w:lineRule="auto"/>
      </w:pPr>
      <w:r>
        <w:rPr>
          <w:rFonts w:ascii="Arial" w:hAnsi="Arial"/>
          <w:color w:val="334155"/>
          <w:sz w:val="20"/>
        </w:rPr>
        <w:t>Una de las características de seguridad más avanzadas de EduNova es el subsistema de carnets estudiantiles digitales:</w:t>
      </w:r>
    </w:p>
    <w:p>
      <w:pPr>
        <w:pStyle w:val="ListBullet"/>
        <w:spacing w:before="40" w:after="40" w:line="276" w:lineRule="auto"/>
      </w:pPr>
      <w:r>
        <w:rPr>
          <w:rFonts w:ascii="Arial" w:hAnsi="Arial"/>
          <w:b/>
          <w:color w:val="00324D"/>
          <w:sz w:val="20"/>
        </w:rPr>
        <w:t>UUID v4 Ofuscado:</w:t>
      </w:r>
      <w:r>
        <w:rPr>
          <w:rFonts w:ascii="Arial" w:hAnsi="Arial"/>
          <w:color w:val="334155"/>
          <w:sz w:val="20"/>
        </w:rPr>
        <w:t>Cada estudiante tiene asignado un identificador global único qr_token (UUID v4) autogenerado que no expone el ID interno de base de datos ni el documento de identidad.</w:t>
      </w:r>
    </w:p>
    <w:p>
      <w:pPr>
        <w:pStyle w:val="ListBullet"/>
        <w:spacing w:before="40" w:after="40" w:line="276" w:lineRule="auto"/>
      </w:pPr>
      <w:r>
        <w:rPr>
          <w:rFonts w:ascii="Arial" w:hAnsi="Arial"/>
          <w:b/>
          <w:color w:val="00324D"/>
          <w:sz w:val="20"/>
        </w:rPr>
        <w:t>Rotación Criptográfica Diaria:</w:t>
      </w:r>
      <w:r>
        <w:rPr>
          <w:rFonts w:ascii="Arial" w:hAnsi="Arial"/>
          <w:color w:val="334155"/>
          <w:sz w:val="20"/>
        </w:rPr>
        <w:t>El código QR se regenera con un parámetro de rotación temporal diaria (?dia=AAAA-MM-DD). Esto previene que capturas de pantalla o fotos estáticas del carnet sean utilizadas por terceros en días posteriores para falsificar el acceso institucional.</w:t>
      </w:r>
    </w:p>
    <w:p>
      <w:pPr>
        <w:keepNext/>
        <w:spacing w:before="240" w:after="80"/>
      </w:pPr>
      <w:r>
        <w:rPr>
          <w:rFonts w:ascii="Arial" w:hAnsi="Arial"/>
          <w:b/>
          <w:color w:val="2563EB"/>
          <w:sz w:val="23"/>
        </w:rPr>
        <w:t>9.4 Medidas de Seguridad Pendientes y Brechas Identificadas</w:t>
      </w:r>
    </w:p>
    <w:p>
      <w:pPr>
        <w:spacing w:before="60" w:after="80" w:line="276" w:lineRule="auto"/>
      </w:pPr>
      <w:r>
        <w:rPr>
          <w:rFonts w:ascii="Arial" w:hAnsi="Arial"/>
          <w:color w:val="334155"/>
          <w:sz w:val="20"/>
        </w:rPr>
        <w:t>Como parte de la honestidad técnica requerida en este informe, se detallan las medidas de seguridad que aún deben implementarse para alcanzar una certificación ISO/IEC 27001 completa:</w:t>
      </w:r>
    </w:p>
    <w:p>
      <w:pPr>
        <w:pStyle w:val="ListBullet"/>
        <w:spacing w:before="40" w:after="40" w:line="276" w:lineRule="auto"/>
      </w:pPr>
      <w:r>
        <w:rPr>
          <w:rFonts w:ascii="Arial" w:hAnsi="Arial"/>
          <w:b/>
          <w:color w:val="00324D"/>
          <w:sz w:val="20"/>
        </w:rPr>
        <w:t>1. Rate Limiting en Formularios Sensibles:</w:t>
      </w:r>
      <w:r>
        <w:rPr>
          <w:rFonts w:ascii="Arial" w:hAnsi="Arial"/>
          <w:color w:val="334155"/>
          <w:sz w:val="20"/>
        </w:rPr>
        <w:t>Falta incorporar un middleware de limitación de tasa (ej. django-ratelimit) para bloquear intentos sucesivos de autenticación fallida en /login/ y /recuperar-contrasena/.</w:t>
      </w:r>
    </w:p>
    <w:p>
      <w:pPr>
        <w:pStyle w:val="ListBullet"/>
        <w:spacing w:before="40" w:after="40" w:line="276" w:lineRule="auto"/>
      </w:pPr>
      <w:r>
        <w:rPr>
          <w:rFonts w:ascii="Arial" w:hAnsi="Arial"/>
          <w:b/>
          <w:color w:val="00324D"/>
          <w:sz w:val="20"/>
        </w:rPr>
        <w:t>2. Restricción de Cabecera Host:</w:t>
      </w:r>
      <w:r>
        <w:rPr>
          <w:rFonts w:ascii="Arial" w:hAnsi="Arial"/>
          <w:color w:val="334155"/>
          <w:sz w:val="20"/>
        </w:rPr>
        <w:t>En el archivo render.yaml la variable ALLOWED_HOSTS está temporalmente en '*' para facilitar pruebas en la nube. Debe restringirse exclusivamente a sinetec-1.onrender.com.</w:t>
      </w:r>
    </w:p>
    <w:p>
      <w:pPr>
        <w:pStyle w:val="ListBullet"/>
        <w:spacing w:before="40" w:after="40" w:line="276" w:lineRule="auto"/>
      </w:pPr>
      <w:r>
        <w:rPr>
          <w:rFonts w:ascii="Arial" w:hAnsi="Arial"/>
          <w:b/>
          <w:color w:val="00324D"/>
          <w:sz w:val="20"/>
        </w:rPr>
        <w:t>3. Cabecera HTTP Strict Transport Security (HSTS):</w:t>
      </w:r>
      <w:r>
        <w:rPr>
          <w:rFonts w:ascii="Arial" w:hAnsi="Arial"/>
          <w:color w:val="334155"/>
          <w:sz w:val="20"/>
        </w:rPr>
        <w:t>La directiva SECURE_HSTS_SECONDS debe configurarse en settings.py para forzar a los navegadores a conectarse exclusivamente mediante HTTPS durante un año.</w:t>
      </w:r>
    </w:p>
    <w:p>
      <w:pPr>
        <w:keepNext/>
        <w:spacing w:before="320" w:after="120"/>
      </w:pPr>
      <w:r>
        <w:rPr>
          <w:rFonts w:ascii="Arial" w:hAnsi="Arial"/>
          <w:b/>
          <w:color w:val="00324D"/>
          <w:sz w:val="28"/>
        </w:rPr>
        <w:t>10. PLAN Y EJECUCIÓN RIGUROSA DE PRUEBAS TÉCNICAS</w:t>
      </w:r>
    </w:p>
    <w:p>
      <w:pPr>
        <w:keepNext/>
        <w:spacing w:before="240" w:after="80"/>
      </w:pPr>
      <w:r>
        <w:rPr>
          <w:rFonts w:ascii="Arial" w:hAnsi="Arial"/>
          <w:b/>
          <w:color w:val="2563EB"/>
          <w:sz w:val="23"/>
        </w:rPr>
        <w:t>10.1 Enfoque Metodológico de Pruebas (IEEE 829)</w:t>
      </w:r>
    </w:p>
    <w:p>
      <w:pPr>
        <w:spacing w:before="60" w:after="80" w:line="276" w:lineRule="auto"/>
      </w:pPr>
      <w:r>
        <w:rPr>
          <w:rFonts w:ascii="Arial" w:hAnsi="Arial"/>
          <w:color w:val="334155"/>
          <w:sz w:val="20"/>
        </w:rPr>
        <w:t>El proceso de verificación y aseguramiento de la calidad se diseñó siguiendo los lineamientos del estándar IEEE 829 para la Documentación de Pruebas de Software. Se ejecutaron pruebas a tres niveles: unitarias (modelos y reglas de negocio), de integración (vistas HTTP y flujos de usuario) y de auditoría global del sistema implantado.</w:t>
      </w:r>
    </w:p>
    <w:p>
      <w:pPr>
        <w:keepNext/>
        <w:spacing w:before="240" w:after="80"/>
      </w:pPr>
      <w:r>
        <w:rPr>
          <w:rFonts w:ascii="Arial" w:hAnsi="Arial"/>
          <w:b/>
          <w:color w:val="2563EB"/>
          <w:sz w:val="23"/>
        </w:rPr>
        <w:t>10.2 Resultados de la Suite Automatizada (83 Pruebas Unitarias)</w:t>
      </w:r>
    </w:p>
    <w:p>
      <w:pPr>
        <w:spacing w:before="60" w:after="80" w:line="276" w:lineRule="auto"/>
      </w:pPr>
      <w:r>
        <w:rPr>
          <w:rFonts w:ascii="Arial" w:hAnsi="Arial"/>
          <w:color w:val="334155"/>
          <w:sz w:val="20"/>
        </w:rPr>
        <w:t>La suite de pruebas automatizadas integrada en el núcleo de Django fue ejecutada directamente en el entorno de desarrollo sobre el motor MySQL. Se evaluaron las 6 aplicaciones del sistema:</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40" w:type="dxa"/>
            </w:tcMar>
            <w:tcBorders>
              <w:left w:val="single" w:sz="24" w:space="0" w:color="00324D"/>
              <w:top w:val="none"/>
              <w:right w:val="none"/>
              <w:bottom w:val="none"/>
            </w:tcBorders>
          </w:tcPr>
          <w:p>
            <w:pPr>
              <w:spacing w:before="40" w:after="40" w:line="276" w:lineRule="auto"/>
            </w:pPr>
            <w:r>
              <w:rPr>
                <w:rFonts w:ascii="Arial" w:hAnsi="Arial"/>
                <w:b/>
                <w:color w:val="00324D"/>
                <w:sz w:val="21"/>
              </w:rPr>
              <w:t>RESULTADO DE LA SUITE UNITARIA FORMAL (DJANGO TEST RUNNER)</w:t>
              <w:br/>
            </w:r>
            <w:r>
              <w:rPr>
                <w:rFonts w:ascii="Arial" w:hAnsi="Arial"/>
                <w:color w:val="334155"/>
                <w:sz w:val="19"/>
              </w:rPr>
              <w:t>Comando Ejecutado: python manage.py test academico usuarios evaluaciones instituciones seguimiento convenios</w:t>
              <w:br/>
              <w:t>Total de Pruebas Descubiertas: 83 pruebas automatizadas.</w:t>
              <w:br/>
              <w:t>Pruebas Aprobadas con Éxito (OK): 83 pruebas (100% de efectividad).</w:t>
              <w:br/>
              <w:t>Fallos (Failures): 0 | Errores de Ejecución: 0.</w:t>
              <w:br/>
              <w:t>Tiempo de Ejecución: 89.084 segundos.</w:t>
              <w:br/>
              <w:t>Estado del Motor: Base de datos de prueba creada y destruida limpiamente en MySQL.</w:t>
            </w:r>
          </w:p>
        </w:tc>
      </w:tr>
    </w:tbl>
    <w:p/>
    <w:p>
      <w:pPr>
        <w:keepNext/>
        <w:spacing w:before="240" w:after="80"/>
      </w:pPr>
      <w:r>
        <w:rPr>
          <w:rFonts w:ascii="Arial" w:hAnsi="Arial"/>
          <w:b/>
          <w:color w:val="2563EB"/>
          <w:sz w:val="23"/>
        </w:rPr>
        <w:t>10.3 Resultados de las Suites de Auditoría de Paneles y Datos</w:t>
      </w:r>
    </w:p>
    <w:p>
      <w:pPr>
        <w:spacing w:before="60" w:after="80" w:line="276" w:lineRule="auto"/>
      </w:pPr>
      <w:r>
        <w:rPr>
          <w:rFonts w:ascii="Arial" w:hAnsi="Arial"/>
          <w:color w:val="334155"/>
          <w:sz w:val="20"/>
        </w:rPr>
        <w:t>Complementariamente a las pruebas unitarias, se ejecutaron dos scripts de auditoría integral sobre la base de datos y la interfaz:</w:t>
      </w:r>
    </w:p>
    <w:p>
      <w:pPr>
        <w:pStyle w:val="ListBullet"/>
        <w:spacing w:before="40" w:after="40" w:line="276" w:lineRule="auto"/>
      </w:pPr>
      <w:r>
        <w:rPr>
          <w:rFonts w:ascii="Arial" w:hAnsi="Arial"/>
          <w:b/>
          <w:color w:val="00324D"/>
          <w:sz w:val="20"/>
        </w:rPr>
        <w:t>1. Suite test_auditoria_completa_edunova.py:</w:t>
      </w:r>
      <w:r>
        <w:rPr>
          <w:rFonts w:ascii="Arial" w:hAnsi="Arial"/>
          <w:color w:val="334155"/>
          <w:sz w:val="20"/>
        </w:rPr>
        <w:t>Comprobó el estado de demostración (1 docente activo Miguel González, 1 estudiante Juan Pérez en Grado 10°A, 1 matrícula activa, 1 acudiente), ausencia de tareas o notificaciones ficticias, acceso HTTP 200 a los 6 paneles y operaciones CRUD completas en Carga Académica (Crear ID #78, Editar y Eliminar). Resultado: 100% Aprobada.</w:t>
      </w:r>
    </w:p>
    <w:p>
      <w:pPr>
        <w:pStyle w:val="ListBullet"/>
        <w:spacing w:before="40" w:after="40" w:line="276" w:lineRule="auto"/>
      </w:pPr>
      <w:r>
        <w:rPr>
          <w:rFonts w:ascii="Arial" w:hAnsi="Arial"/>
          <w:b/>
          <w:color w:val="00324D"/>
          <w:sz w:val="20"/>
        </w:rPr>
        <w:t>2. Suite test_seis_paneles_auditoria.py:</w:t>
      </w:r>
      <w:r>
        <w:rPr>
          <w:rFonts w:ascii="Arial" w:hAnsi="Arial"/>
          <w:color w:val="334155"/>
          <w:sz w:val="20"/>
        </w:rPr>
        <w:t>Verificó el motor MySQL en producción ('django.db.backends.mysql'), la coordinación de horarios (6 bloques en 10°A) y la navegación en subpaneles de estudiante. Resultado: 100% Aprobada.</w:t>
      </w:r>
    </w:p>
    <w:p>
      <w:pPr>
        <w:pStyle w:val="ListBullet"/>
        <w:spacing w:before="40" w:after="40" w:line="276" w:lineRule="auto"/>
      </w:pPr>
      <w:r>
        <w:rPr>
          <w:rFonts w:ascii="Arial" w:hAnsi="Arial"/>
          <w:b/>
          <w:color w:val="00324D"/>
          <w:sz w:val="20"/>
        </w:rPr>
        <w:t>3. Verificación de Disponibilidad en la Nube:</w:t>
      </w:r>
      <w:r>
        <w:rPr>
          <w:rFonts w:ascii="Arial" w:hAnsi="Arial"/>
          <w:color w:val="334155"/>
          <w:sz w:val="20"/>
        </w:rPr>
        <w:t>Se realizó una petición HTTP GET directa a https://sinetec-1.onrender.com/, recibiendo código 200 OK y confirmando el renderizado de la página principal de EduNova.</w:t>
      </w:r>
    </w:p>
    <w:p>
      <w:pPr>
        <w:keepNext/>
        <w:spacing w:before="320" w:after="120"/>
      </w:pPr>
      <w:r>
        <w:rPr>
          <w:rFonts w:ascii="Arial" w:hAnsi="Arial"/>
          <w:b/>
          <w:color w:val="00324D"/>
          <w:sz w:val="28"/>
        </w:rPr>
        <w:t>11. BITÁCORA DETALLADA DE PRUEBAS TÉCNICAS Y EVIDENCIAS</w:t>
      </w:r>
    </w:p>
    <w:p>
      <w:pPr>
        <w:spacing w:before="60" w:after="80" w:line="276" w:lineRule="auto"/>
      </w:pPr>
      <w:r>
        <w:rPr>
          <w:rFonts w:ascii="Arial" w:hAnsi="Arial"/>
          <w:color w:val="334155"/>
          <w:sz w:val="20"/>
        </w:rPr>
        <w:t>A continuación se presenta la bitácora técnica de pruebas ejecutadas, detallando el código, módulo, objetivo, procedimiento, resultado esperado, resultado obtenido, estado y evidencias comprobables: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1008"/>
            <w:shd w:fill="00324D"/>
            <w:tcMar>
              <w:top w:w="80" w:type="dxa"/>
              <w:bottom w:w="80" w:type="dxa"/>
              <w:left w:w="80" w:type="dxa"/>
              <w:right w:w="80" w:type="dxa"/>
            </w:tcMar>
          </w:tcPr>
          <w:p>
            <w:pPr>
              <w:jc w:val="center"/>
            </w:pPr>
            <w:r>
              <w:rPr>
                <w:rFonts w:ascii="Arial" w:hAnsi="Arial"/>
                <w:b/>
                <w:color w:val="FFFFFF"/>
                <w:sz w:val="17"/>
              </w:rPr>
              <w:t>ID</w:t>
            </w:r>
          </w:p>
        </w:tc>
        <w:tc>
          <w:tcPr>
            <w:tcW w:type="dxa" w:w="1584"/>
            <w:shd w:fill="00324D"/>
            <w:tcMar>
              <w:top w:w="80" w:type="dxa"/>
              <w:bottom w:w="80" w:type="dxa"/>
              <w:left w:w="80" w:type="dxa"/>
              <w:right w:w="80" w:type="dxa"/>
            </w:tcMar>
          </w:tcPr>
          <w:p>
            <w:pPr>
              <w:jc w:val="center"/>
            </w:pPr>
            <w:r>
              <w:rPr>
                <w:rFonts w:ascii="Arial" w:hAnsi="Arial"/>
                <w:b/>
                <w:color w:val="FFFFFF"/>
                <w:sz w:val="17"/>
              </w:rPr>
              <w:t>Módulo</w:t>
            </w:r>
          </w:p>
        </w:tc>
        <w:tc>
          <w:tcPr>
            <w:tcW w:type="dxa" w:w="2304"/>
            <w:shd w:fill="00324D"/>
            <w:tcMar>
              <w:top w:w="80" w:type="dxa"/>
              <w:bottom w:w="80" w:type="dxa"/>
              <w:left w:w="80" w:type="dxa"/>
              <w:right w:w="80" w:type="dxa"/>
            </w:tcMar>
          </w:tcPr>
          <w:p>
            <w:pPr>
              <w:jc w:val="center"/>
            </w:pPr>
            <w:r>
              <w:rPr>
                <w:rFonts w:ascii="Arial" w:hAnsi="Arial"/>
                <w:b/>
                <w:color w:val="FFFFFF"/>
                <w:sz w:val="17"/>
              </w:rPr>
              <w:t>Objetivo de la Prueba</w:t>
            </w:r>
          </w:p>
        </w:tc>
        <w:tc>
          <w:tcPr>
            <w:tcW w:type="dxa" w:w="2160"/>
            <w:shd w:fill="00324D"/>
            <w:tcMar>
              <w:top w:w="80" w:type="dxa"/>
              <w:bottom w:w="80" w:type="dxa"/>
              <w:left w:w="80" w:type="dxa"/>
              <w:right w:w="80" w:type="dxa"/>
            </w:tcMar>
          </w:tcPr>
          <w:p>
            <w:pPr>
              <w:jc w:val="center"/>
            </w:pPr>
            <w:r>
              <w:rPr>
                <w:rFonts w:ascii="Arial" w:hAnsi="Arial"/>
                <w:b/>
                <w:color w:val="FFFFFF"/>
                <w:sz w:val="17"/>
              </w:rPr>
              <w:t>Procedimiento Realizado</w:t>
            </w:r>
          </w:p>
        </w:tc>
        <w:tc>
          <w:tcPr>
            <w:tcW w:type="dxa" w:w="1584"/>
            <w:shd w:fill="00324D"/>
            <w:tcMar>
              <w:top w:w="80" w:type="dxa"/>
              <w:bottom w:w="80" w:type="dxa"/>
              <w:left w:w="80" w:type="dxa"/>
              <w:right w:w="80" w:type="dxa"/>
            </w:tcMar>
          </w:tcPr>
          <w:p>
            <w:pPr>
              <w:jc w:val="center"/>
            </w:pPr>
            <w:r>
              <w:rPr>
                <w:rFonts w:ascii="Arial" w:hAnsi="Arial"/>
                <w:b/>
                <w:color w:val="FFFFFF"/>
                <w:sz w:val="17"/>
              </w:rPr>
              <w:t>Resultado Obtenido</w:t>
            </w:r>
          </w:p>
        </w:tc>
        <w:tc>
          <w:tcPr>
            <w:tcW w:type="dxa" w:w="1152"/>
            <w:shd w:fill="00324D"/>
            <w:tcMar>
              <w:top w:w="80" w:type="dxa"/>
              <w:bottom w:w="80" w:type="dxa"/>
              <w:left w:w="80" w:type="dxa"/>
              <w:right w:w="80" w:type="dxa"/>
            </w:tcMar>
          </w:tcPr>
          <w:p>
            <w:pPr>
              <w:jc w:val="center"/>
            </w:pPr>
            <w:r>
              <w:rPr>
                <w:rFonts w:ascii="Arial" w:hAnsi="Arial"/>
                <w:b/>
                <w:color w:val="FFFFFF"/>
                <w:sz w:val="17"/>
              </w:rPr>
              <w:t>Estado</w:t>
            </w:r>
          </w:p>
        </w:tc>
      </w:tr>
      <w:tr>
        <w:tc>
          <w:tcPr>
            <w:tcW w:type="dxa" w:w="1008"/>
            <w:shd w:fill="F8FAFC"/>
            <w:tcMar>
              <w:top w:w="50" w:type="dxa"/>
              <w:bottom w:w="50" w:type="dxa"/>
              <w:left w:w="60" w:type="dxa"/>
              <w:right w:w="60" w:type="dxa"/>
            </w:tcMar>
          </w:tcPr>
          <w:p>
            <w:pPr>
              <w:spacing w:line="252" w:lineRule="auto"/>
            </w:pPr>
            <w:r>
              <w:rPr>
                <w:rFonts w:ascii="Arial" w:hAnsi="Arial"/>
                <w:b/>
                <w:color w:val="00324D"/>
                <w:sz w:val="15"/>
              </w:rPr>
              <w:t>PRU-01</w:t>
            </w:r>
          </w:p>
        </w:tc>
        <w:tc>
          <w:tcPr>
            <w:tcW w:type="dxa" w:w="1584"/>
            <w:shd w:fill="F8FAFC"/>
            <w:tcMar>
              <w:top w:w="50" w:type="dxa"/>
              <w:bottom w:w="50" w:type="dxa"/>
              <w:left w:w="60" w:type="dxa"/>
              <w:right w:w="60" w:type="dxa"/>
            </w:tcMar>
          </w:tcPr>
          <w:p>
            <w:pPr>
              <w:spacing w:line="252" w:lineRule="auto"/>
            </w:pPr>
            <w:r>
              <w:rPr>
                <w:rFonts w:ascii="Arial" w:hAnsi="Arial"/>
                <w:color w:val="334155"/>
                <w:sz w:val="15"/>
              </w:rPr>
              <w:t>Autenticación</w:t>
            </w:r>
          </w:p>
        </w:tc>
        <w:tc>
          <w:tcPr>
            <w:tcW w:type="dxa" w:w="2304"/>
            <w:shd w:fill="F8FAFC"/>
            <w:tcMar>
              <w:top w:w="50" w:type="dxa"/>
              <w:bottom w:w="50" w:type="dxa"/>
              <w:left w:w="60" w:type="dxa"/>
              <w:right w:w="60" w:type="dxa"/>
            </w:tcMar>
          </w:tcPr>
          <w:p>
            <w:pPr>
              <w:spacing w:line="252" w:lineRule="auto"/>
            </w:pPr>
            <w:r>
              <w:rPr>
                <w:rFonts w:ascii="Arial" w:hAnsi="Arial"/>
                <w:color w:val="334155"/>
                <w:sz w:val="15"/>
              </w:rPr>
              <w:t>Verificar login con credenciales válidas de usuario</w:t>
            </w:r>
          </w:p>
        </w:tc>
        <w:tc>
          <w:tcPr>
            <w:tcW w:type="dxa" w:w="2160"/>
            <w:shd w:fill="F8FAFC"/>
            <w:tcMar>
              <w:top w:w="50" w:type="dxa"/>
              <w:bottom w:w="50" w:type="dxa"/>
              <w:left w:w="60" w:type="dxa"/>
              <w:right w:w="60" w:type="dxa"/>
            </w:tcMar>
          </w:tcPr>
          <w:p>
            <w:pPr>
              <w:spacing w:line="252" w:lineRule="auto"/>
            </w:pPr>
            <w:r>
              <w:rPr>
                <w:rFonts w:ascii="Arial" w:hAnsi="Arial"/>
                <w:color w:val="334155"/>
                <w:sz w:val="15"/>
              </w:rPr>
              <w:t>POST a /login/ con usuario admin y contraseña correcta</w:t>
            </w:r>
          </w:p>
        </w:tc>
        <w:tc>
          <w:tcPr>
            <w:tcW w:type="dxa" w:w="1584"/>
            <w:shd w:fill="F8FAFC"/>
            <w:tcMar>
              <w:top w:w="50" w:type="dxa"/>
              <w:bottom w:w="50" w:type="dxa"/>
              <w:left w:w="60" w:type="dxa"/>
              <w:right w:w="60" w:type="dxa"/>
            </w:tcMar>
          </w:tcPr>
          <w:p>
            <w:pPr>
              <w:spacing w:line="252" w:lineRule="auto"/>
            </w:pPr>
            <w:r>
              <w:rPr>
                <w:rFonts w:ascii="Arial" w:hAnsi="Arial"/>
                <w:color w:val="334155"/>
                <w:sz w:val="15"/>
              </w:rPr>
              <w:t>HTTP 302 Redirección a /dashboard/ y sesión activa</w:t>
            </w:r>
          </w:p>
        </w:tc>
        <w:tc>
          <w:tcPr>
            <w:tcW w:type="dxa" w:w="1152"/>
            <w:shd w:fill="F8FAFC"/>
            <w:tcMar>
              <w:top w:w="50" w:type="dxa"/>
              <w:bottom w:w="50" w:type="dxa"/>
              <w:left w:w="60" w:type="dxa"/>
              <w:right w:w="60" w:type="dxa"/>
            </w:tcMar>
          </w:tcPr>
          <w:p>
            <w:pPr>
              <w:spacing w:line="252" w:lineRule="auto"/>
            </w:pPr>
            <w:r>
              <w:rPr>
                <w:rFonts w:ascii="Arial" w:hAnsi="Arial"/>
                <w:b/>
                <w:color w:val="16A34A"/>
                <w:sz w:val="15"/>
              </w:rPr>
              <w:t>APROBADA</w:t>
            </w:r>
          </w:p>
        </w:tc>
      </w:tr>
      <w:tr>
        <w:tc>
          <w:tcPr>
            <w:tcW w:type="dxa" w:w="1008"/>
            <w:shd w:fill="FFFFFF"/>
            <w:tcMar>
              <w:top w:w="50" w:type="dxa"/>
              <w:bottom w:w="50" w:type="dxa"/>
              <w:left w:w="60" w:type="dxa"/>
              <w:right w:w="60" w:type="dxa"/>
            </w:tcMar>
          </w:tcPr>
          <w:p>
            <w:pPr>
              <w:spacing w:line="252" w:lineRule="auto"/>
            </w:pPr>
            <w:r>
              <w:rPr>
                <w:rFonts w:ascii="Arial" w:hAnsi="Arial"/>
                <w:b/>
                <w:color w:val="00324D"/>
                <w:sz w:val="15"/>
              </w:rPr>
              <w:t>PRU-02</w:t>
            </w:r>
          </w:p>
        </w:tc>
        <w:tc>
          <w:tcPr>
            <w:tcW w:type="dxa" w:w="1584"/>
            <w:shd w:fill="FFFFFF"/>
            <w:tcMar>
              <w:top w:w="50" w:type="dxa"/>
              <w:bottom w:w="50" w:type="dxa"/>
              <w:left w:w="60" w:type="dxa"/>
              <w:right w:w="60" w:type="dxa"/>
            </w:tcMar>
          </w:tcPr>
          <w:p>
            <w:pPr>
              <w:spacing w:line="252" w:lineRule="auto"/>
            </w:pPr>
            <w:r>
              <w:rPr>
                <w:rFonts w:ascii="Arial" w:hAnsi="Arial"/>
                <w:color w:val="334155"/>
                <w:sz w:val="15"/>
              </w:rPr>
              <w:t>Autenticación</w:t>
            </w:r>
          </w:p>
        </w:tc>
        <w:tc>
          <w:tcPr>
            <w:tcW w:type="dxa" w:w="2304"/>
            <w:shd w:fill="FFFFFF"/>
            <w:tcMar>
              <w:top w:w="50" w:type="dxa"/>
              <w:bottom w:w="50" w:type="dxa"/>
              <w:left w:w="60" w:type="dxa"/>
              <w:right w:w="60" w:type="dxa"/>
            </w:tcMar>
          </w:tcPr>
          <w:p>
            <w:pPr>
              <w:spacing w:line="252" w:lineRule="auto"/>
            </w:pPr>
            <w:r>
              <w:rPr>
                <w:rFonts w:ascii="Arial" w:hAnsi="Arial"/>
                <w:color w:val="334155"/>
                <w:sz w:val="15"/>
              </w:rPr>
              <w:t>Bloquear acceso ante contraseña incorrecta</w:t>
            </w:r>
          </w:p>
        </w:tc>
        <w:tc>
          <w:tcPr>
            <w:tcW w:type="dxa" w:w="2160"/>
            <w:shd w:fill="FFFFFF"/>
            <w:tcMar>
              <w:top w:w="50" w:type="dxa"/>
              <w:bottom w:w="50" w:type="dxa"/>
              <w:left w:w="60" w:type="dxa"/>
              <w:right w:w="60" w:type="dxa"/>
            </w:tcMar>
          </w:tcPr>
          <w:p>
            <w:pPr>
              <w:spacing w:line="252" w:lineRule="auto"/>
            </w:pPr>
            <w:r>
              <w:rPr>
                <w:rFonts w:ascii="Arial" w:hAnsi="Arial"/>
                <w:color w:val="334155"/>
                <w:sz w:val="15"/>
              </w:rPr>
              <w:t>POST a /login/ con usuario admin y clave errónea</w:t>
            </w:r>
          </w:p>
        </w:tc>
        <w:tc>
          <w:tcPr>
            <w:tcW w:type="dxa" w:w="1584"/>
            <w:shd w:fill="FFFFFF"/>
            <w:tcMar>
              <w:top w:w="50" w:type="dxa"/>
              <w:bottom w:w="50" w:type="dxa"/>
              <w:left w:w="60" w:type="dxa"/>
              <w:right w:w="60" w:type="dxa"/>
            </w:tcMar>
          </w:tcPr>
          <w:p>
            <w:pPr>
              <w:spacing w:line="252" w:lineRule="auto"/>
            </w:pPr>
            <w:r>
              <w:rPr>
                <w:rFonts w:ascii="Arial" w:hAnsi="Arial"/>
                <w:color w:val="334155"/>
                <w:sz w:val="15"/>
              </w:rPr>
              <w:t>HTTP 200, sesión no creada y mensaje de alerta</w:t>
            </w:r>
          </w:p>
        </w:tc>
        <w:tc>
          <w:tcPr>
            <w:tcW w:type="dxa" w:w="1152"/>
            <w:shd w:fill="FFFFFF"/>
            <w:tcMar>
              <w:top w:w="50" w:type="dxa"/>
              <w:bottom w:w="50" w:type="dxa"/>
              <w:left w:w="60" w:type="dxa"/>
              <w:right w:w="60" w:type="dxa"/>
            </w:tcMar>
          </w:tcPr>
          <w:p>
            <w:pPr>
              <w:spacing w:line="252" w:lineRule="auto"/>
            </w:pPr>
            <w:r>
              <w:rPr>
                <w:rFonts w:ascii="Arial" w:hAnsi="Arial"/>
                <w:b/>
                <w:color w:val="16A34A"/>
                <w:sz w:val="15"/>
              </w:rPr>
              <w:t>APROBADA</w:t>
            </w:r>
          </w:p>
        </w:tc>
      </w:tr>
      <w:tr>
        <w:tc>
          <w:tcPr>
            <w:tcW w:type="dxa" w:w="1008"/>
            <w:shd w:fill="F8FAFC"/>
            <w:tcMar>
              <w:top w:w="50" w:type="dxa"/>
              <w:bottom w:w="50" w:type="dxa"/>
              <w:left w:w="60" w:type="dxa"/>
              <w:right w:w="60" w:type="dxa"/>
            </w:tcMar>
          </w:tcPr>
          <w:p>
            <w:pPr>
              <w:spacing w:line="252" w:lineRule="auto"/>
            </w:pPr>
            <w:r>
              <w:rPr>
                <w:rFonts w:ascii="Arial" w:hAnsi="Arial"/>
                <w:b/>
                <w:color w:val="00324D"/>
                <w:sz w:val="15"/>
              </w:rPr>
              <w:t>PRU-03</w:t>
            </w:r>
          </w:p>
        </w:tc>
        <w:tc>
          <w:tcPr>
            <w:tcW w:type="dxa" w:w="1584"/>
            <w:shd w:fill="F8FAFC"/>
            <w:tcMar>
              <w:top w:w="50" w:type="dxa"/>
              <w:bottom w:w="50" w:type="dxa"/>
              <w:left w:w="60" w:type="dxa"/>
              <w:right w:w="60" w:type="dxa"/>
            </w:tcMar>
          </w:tcPr>
          <w:p>
            <w:pPr>
              <w:spacing w:line="252" w:lineRule="auto"/>
            </w:pPr>
            <w:r>
              <w:rPr>
                <w:rFonts w:ascii="Arial" w:hAnsi="Arial"/>
                <w:color w:val="334155"/>
                <w:sz w:val="15"/>
              </w:rPr>
              <w:t>Usuarios (RN-001)</w:t>
            </w:r>
          </w:p>
        </w:tc>
        <w:tc>
          <w:tcPr>
            <w:tcW w:type="dxa" w:w="2304"/>
            <w:shd w:fill="F8FAFC"/>
            <w:tcMar>
              <w:top w:w="50" w:type="dxa"/>
              <w:bottom w:w="50" w:type="dxa"/>
              <w:left w:w="60" w:type="dxa"/>
              <w:right w:w="60" w:type="dxa"/>
            </w:tcMar>
          </w:tcPr>
          <w:p>
            <w:pPr>
              <w:spacing w:line="252" w:lineRule="auto"/>
            </w:pPr>
            <w:r>
              <w:rPr>
                <w:rFonts w:ascii="Arial" w:hAnsi="Arial"/>
                <w:color w:val="334155"/>
                <w:sz w:val="15"/>
              </w:rPr>
              <w:t>Garantizar unicidad de documento de identidad</w:t>
            </w:r>
          </w:p>
        </w:tc>
        <w:tc>
          <w:tcPr>
            <w:tcW w:type="dxa" w:w="2160"/>
            <w:shd w:fill="F8FAFC"/>
            <w:tcMar>
              <w:top w:w="50" w:type="dxa"/>
              <w:bottom w:w="50" w:type="dxa"/>
              <w:left w:w="60" w:type="dxa"/>
              <w:right w:w="60" w:type="dxa"/>
            </w:tcMar>
          </w:tcPr>
          <w:p>
            <w:pPr>
              <w:spacing w:line="252" w:lineRule="auto"/>
            </w:pPr>
            <w:r>
              <w:rPr>
                <w:rFonts w:ascii="Arial" w:hAnsi="Arial"/>
                <w:color w:val="334155"/>
                <w:sz w:val="15"/>
              </w:rPr>
              <w:t>Guardar dos perfiles con mismo número de documento</w:t>
            </w:r>
          </w:p>
        </w:tc>
        <w:tc>
          <w:tcPr>
            <w:tcW w:type="dxa" w:w="1584"/>
            <w:shd w:fill="F8FAFC"/>
            <w:tcMar>
              <w:top w:w="50" w:type="dxa"/>
              <w:bottom w:w="50" w:type="dxa"/>
              <w:left w:w="60" w:type="dxa"/>
              <w:right w:w="60" w:type="dxa"/>
            </w:tcMar>
          </w:tcPr>
          <w:p>
            <w:pPr>
              <w:spacing w:line="252" w:lineRule="auto"/>
            </w:pPr>
            <w:r>
              <w:rPr>
                <w:rFonts w:ascii="Arial" w:hAnsi="Arial"/>
                <w:color w:val="334155"/>
                <w:sz w:val="15"/>
              </w:rPr>
              <w:t>IntegrityError capturado impidiendo duplicación</w:t>
            </w:r>
          </w:p>
        </w:tc>
        <w:tc>
          <w:tcPr>
            <w:tcW w:type="dxa" w:w="1152"/>
            <w:shd w:fill="F8FAFC"/>
            <w:tcMar>
              <w:top w:w="50" w:type="dxa"/>
              <w:bottom w:w="50" w:type="dxa"/>
              <w:left w:w="60" w:type="dxa"/>
              <w:right w:w="60" w:type="dxa"/>
            </w:tcMar>
          </w:tcPr>
          <w:p>
            <w:pPr>
              <w:spacing w:line="252" w:lineRule="auto"/>
            </w:pPr>
            <w:r>
              <w:rPr>
                <w:rFonts w:ascii="Arial" w:hAnsi="Arial"/>
                <w:b/>
                <w:color w:val="16A34A"/>
                <w:sz w:val="15"/>
              </w:rPr>
              <w:t>APROBADA</w:t>
            </w:r>
          </w:p>
        </w:tc>
      </w:tr>
      <w:tr>
        <w:tc>
          <w:tcPr>
            <w:tcW w:type="dxa" w:w="1008"/>
            <w:shd w:fill="FFFFFF"/>
            <w:tcMar>
              <w:top w:w="50" w:type="dxa"/>
              <w:bottom w:w="50" w:type="dxa"/>
              <w:left w:w="60" w:type="dxa"/>
              <w:right w:w="60" w:type="dxa"/>
            </w:tcMar>
          </w:tcPr>
          <w:p>
            <w:pPr>
              <w:spacing w:line="252" w:lineRule="auto"/>
            </w:pPr>
            <w:r>
              <w:rPr>
                <w:rFonts w:ascii="Arial" w:hAnsi="Arial"/>
                <w:b/>
                <w:color w:val="00324D"/>
                <w:sz w:val="15"/>
              </w:rPr>
              <w:t>PRU-04</w:t>
            </w:r>
          </w:p>
        </w:tc>
        <w:tc>
          <w:tcPr>
            <w:tcW w:type="dxa" w:w="1584"/>
            <w:shd w:fill="FFFFFF"/>
            <w:tcMar>
              <w:top w:w="50" w:type="dxa"/>
              <w:bottom w:w="50" w:type="dxa"/>
              <w:left w:w="60" w:type="dxa"/>
              <w:right w:w="60" w:type="dxa"/>
            </w:tcMar>
          </w:tcPr>
          <w:p>
            <w:pPr>
              <w:spacing w:line="252" w:lineRule="auto"/>
            </w:pPr>
            <w:r>
              <w:rPr>
                <w:rFonts w:ascii="Arial" w:hAnsi="Arial"/>
                <w:color w:val="334155"/>
                <w:sz w:val="15"/>
              </w:rPr>
              <w:t>Académico (RN-002)</w:t>
            </w:r>
          </w:p>
        </w:tc>
        <w:tc>
          <w:tcPr>
            <w:tcW w:type="dxa" w:w="2304"/>
            <w:shd w:fill="FFFFFF"/>
            <w:tcMar>
              <w:top w:w="50" w:type="dxa"/>
              <w:bottom w:w="50" w:type="dxa"/>
              <w:left w:w="60" w:type="dxa"/>
              <w:right w:w="60" w:type="dxa"/>
            </w:tcMar>
          </w:tcPr>
          <w:p>
            <w:pPr>
              <w:spacing w:line="252" w:lineRule="auto"/>
            </w:pPr>
            <w:r>
              <w:rPr>
                <w:rFonts w:ascii="Arial" w:hAnsi="Arial"/>
                <w:color w:val="334155"/>
                <w:sz w:val="15"/>
              </w:rPr>
              <w:t>Impedir duplicidad de matrícula en misma ficha</w:t>
            </w:r>
          </w:p>
        </w:tc>
        <w:tc>
          <w:tcPr>
            <w:tcW w:type="dxa" w:w="2160"/>
            <w:shd w:fill="FFFFFF"/>
            <w:tcMar>
              <w:top w:w="50" w:type="dxa"/>
              <w:bottom w:w="50" w:type="dxa"/>
              <w:left w:w="60" w:type="dxa"/>
              <w:right w:w="60" w:type="dxa"/>
            </w:tcMar>
          </w:tcPr>
          <w:p>
            <w:pPr>
              <w:spacing w:line="252" w:lineRule="auto"/>
            </w:pPr>
            <w:r>
              <w:rPr>
                <w:rFonts w:ascii="Arial" w:hAnsi="Arial"/>
                <w:color w:val="334155"/>
                <w:sz w:val="15"/>
              </w:rPr>
              <w:t>Matricular al mismo aprendiz dos veces en la Ficha</w:t>
            </w:r>
          </w:p>
        </w:tc>
        <w:tc>
          <w:tcPr>
            <w:tcW w:type="dxa" w:w="1584"/>
            <w:shd w:fill="FFFFFF"/>
            <w:tcMar>
              <w:top w:w="50" w:type="dxa"/>
              <w:bottom w:w="50" w:type="dxa"/>
              <w:left w:w="60" w:type="dxa"/>
              <w:right w:w="60" w:type="dxa"/>
            </w:tcMar>
          </w:tcPr>
          <w:p>
            <w:pPr>
              <w:spacing w:line="252" w:lineRule="auto"/>
            </w:pPr>
            <w:r>
              <w:rPr>
                <w:rFonts w:ascii="Arial" w:hAnsi="Arial"/>
                <w:color w:val="334155"/>
                <w:sz w:val="15"/>
              </w:rPr>
              <w:t>Restricción unique_together lanza IntegrityError</w:t>
            </w:r>
          </w:p>
        </w:tc>
        <w:tc>
          <w:tcPr>
            <w:tcW w:type="dxa" w:w="1152"/>
            <w:shd w:fill="FFFFFF"/>
            <w:tcMar>
              <w:top w:w="50" w:type="dxa"/>
              <w:bottom w:w="50" w:type="dxa"/>
              <w:left w:w="60" w:type="dxa"/>
              <w:right w:w="60" w:type="dxa"/>
            </w:tcMar>
          </w:tcPr>
          <w:p>
            <w:pPr>
              <w:spacing w:line="252" w:lineRule="auto"/>
            </w:pPr>
            <w:r>
              <w:rPr>
                <w:rFonts w:ascii="Arial" w:hAnsi="Arial"/>
                <w:b/>
                <w:color w:val="16A34A"/>
                <w:sz w:val="15"/>
              </w:rPr>
              <w:t>APROBADA</w:t>
            </w:r>
          </w:p>
        </w:tc>
      </w:tr>
      <w:tr>
        <w:tc>
          <w:tcPr>
            <w:tcW w:type="dxa" w:w="1008"/>
            <w:shd w:fill="F8FAFC"/>
            <w:tcMar>
              <w:top w:w="50" w:type="dxa"/>
              <w:bottom w:w="50" w:type="dxa"/>
              <w:left w:w="60" w:type="dxa"/>
              <w:right w:w="60" w:type="dxa"/>
            </w:tcMar>
          </w:tcPr>
          <w:p>
            <w:pPr>
              <w:spacing w:line="252" w:lineRule="auto"/>
            </w:pPr>
            <w:r>
              <w:rPr>
                <w:rFonts w:ascii="Arial" w:hAnsi="Arial"/>
                <w:b/>
                <w:color w:val="00324D"/>
                <w:sz w:val="15"/>
              </w:rPr>
              <w:t>PRU-05</w:t>
            </w:r>
          </w:p>
        </w:tc>
        <w:tc>
          <w:tcPr>
            <w:tcW w:type="dxa" w:w="1584"/>
            <w:shd w:fill="F8FAFC"/>
            <w:tcMar>
              <w:top w:w="50" w:type="dxa"/>
              <w:bottom w:w="50" w:type="dxa"/>
              <w:left w:w="60" w:type="dxa"/>
              <w:right w:w="60" w:type="dxa"/>
            </w:tcMar>
          </w:tcPr>
          <w:p>
            <w:pPr>
              <w:spacing w:line="252" w:lineRule="auto"/>
            </w:pPr>
            <w:r>
              <w:rPr>
                <w:rFonts w:ascii="Arial" w:hAnsi="Arial"/>
                <w:color w:val="334155"/>
                <w:sz w:val="15"/>
              </w:rPr>
              <w:t>Evaluaciones (RN-003)</w:t>
            </w:r>
          </w:p>
        </w:tc>
        <w:tc>
          <w:tcPr>
            <w:tcW w:type="dxa" w:w="2304"/>
            <w:shd w:fill="F8FAFC"/>
            <w:tcMar>
              <w:top w:w="50" w:type="dxa"/>
              <w:bottom w:w="50" w:type="dxa"/>
              <w:left w:w="60" w:type="dxa"/>
              <w:right w:w="60" w:type="dxa"/>
            </w:tcMar>
          </w:tcPr>
          <w:p>
            <w:pPr>
              <w:spacing w:line="252" w:lineRule="auto"/>
            </w:pPr>
            <w:r>
              <w:rPr>
                <w:rFonts w:ascii="Arial" w:hAnsi="Arial"/>
                <w:color w:val="334155"/>
                <w:sz w:val="15"/>
              </w:rPr>
              <w:t>Registrar juicio evaluativo SENA oficial 'A'</w:t>
            </w:r>
          </w:p>
        </w:tc>
        <w:tc>
          <w:tcPr>
            <w:tcW w:type="dxa" w:w="2160"/>
            <w:shd w:fill="F8FAFC"/>
            <w:tcMar>
              <w:top w:w="50" w:type="dxa"/>
              <w:bottom w:w="50" w:type="dxa"/>
              <w:left w:w="60" w:type="dxa"/>
              <w:right w:w="60" w:type="dxa"/>
            </w:tcMar>
          </w:tcPr>
          <w:p>
            <w:pPr>
              <w:spacing w:line="252" w:lineRule="auto"/>
            </w:pPr>
            <w:r>
              <w:rPr>
                <w:rFonts w:ascii="Arial" w:hAnsi="Arial"/>
                <w:color w:val="334155"/>
                <w:sz w:val="15"/>
              </w:rPr>
              <w:t>Llamar full_clean() y save() con juicio 'A'</w:t>
            </w:r>
          </w:p>
        </w:tc>
        <w:tc>
          <w:tcPr>
            <w:tcW w:type="dxa" w:w="1584"/>
            <w:shd w:fill="F8FAFC"/>
            <w:tcMar>
              <w:top w:w="50" w:type="dxa"/>
              <w:bottom w:w="50" w:type="dxa"/>
              <w:left w:w="60" w:type="dxa"/>
              <w:right w:w="60" w:type="dxa"/>
            </w:tcMar>
          </w:tcPr>
          <w:p>
            <w:pPr>
              <w:spacing w:line="252" w:lineRule="auto"/>
            </w:pPr>
            <w:r>
              <w:rPr>
                <w:rFonts w:ascii="Arial" w:hAnsi="Arial"/>
                <w:color w:val="334155"/>
                <w:sz w:val="15"/>
              </w:rPr>
              <w:t>Juicio almacenado exitosamente en base de datos</w:t>
            </w:r>
          </w:p>
        </w:tc>
        <w:tc>
          <w:tcPr>
            <w:tcW w:type="dxa" w:w="1152"/>
            <w:shd w:fill="F8FAFC"/>
            <w:tcMar>
              <w:top w:w="50" w:type="dxa"/>
              <w:bottom w:w="50" w:type="dxa"/>
              <w:left w:w="60" w:type="dxa"/>
              <w:right w:w="60" w:type="dxa"/>
            </w:tcMar>
          </w:tcPr>
          <w:p>
            <w:pPr>
              <w:spacing w:line="252" w:lineRule="auto"/>
            </w:pPr>
            <w:r>
              <w:rPr>
                <w:rFonts w:ascii="Arial" w:hAnsi="Arial"/>
                <w:b/>
                <w:color w:val="16A34A"/>
                <w:sz w:val="15"/>
              </w:rPr>
              <w:t>APROBADA</w:t>
            </w:r>
          </w:p>
        </w:tc>
      </w:tr>
      <w:tr>
        <w:tc>
          <w:tcPr>
            <w:tcW w:type="dxa" w:w="1008"/>
            <w:shd w:fill="FFFFFF"/>
            <w:tcMar>
              <w:top w:w="50" w:type="dxa"/>
              <w:bottom w:w="50" w:type="dxa"/>
              <w:left w:w="60" w:type="dxa"/>
              <w:right w:w="60" w:type="dxa"/>
            </w:tcMar>
          </w:tcPr>
          <w:p>
            <w:pPr>
              <w:spacing w:line="252" w:lineRule="auto"/>
            </w:pPr>
            <w:r>
              <w:rPr>
                <w:rFonts w:ascii="Arial" w:hAnsi="Arial"/>
                <w:b/>
                <w:color w:val="00324D"/>
                <w:sz w:val="15"/>
              </w:rPr>
              <w:t>PRU-06</w:t>
            </w:r>
          </w:p>
        </w:tc>
        <w:tc>
          <w:tcPr>
            <w:tcW w:type="dxa" w:w="1584"/>
            <w:shd w:fill="FFFFFF"/>
            <w:tcMar>
              <w:top w:w="50" w:type="dxa"/>
              <w:bottom w:w="50" w:type="dxa"/>
              <w:left w:w="60" w:type="dxa"/>
              <w:right w:w="60" w:type="dxa"/>
            </w:tcMar>
          </w:tcPr>
          <w:p>
            <w:pPr>
              <w:spacing w:line="252" w:lineRule="auto"/>
            </w:pPr>
            <w:r>
              <w:rPr>
                <w:rFonts w:ascii="Arial" w:hAnsi="Arial"/>
                <w:color w:val="334155"/>
                <w:sz w:val="15"/>
              </w:rPr>
              <w:t>Evaluaciones (RN-003)</w:t>
            </w:r>
          </w:p>
        </w:tc>
        <w:tc>
          <w:tcPr>
            <w:tcW w:type="dxa" w:w="2304"/>
            <w:shd w:fill="FFFFFF"/>
            <w:tcMar>
              <w:top w:w="50" w:type="dxa"/>
              <w:bottom w:w="50" w:type="dxa"/>
              <w:left w:w="60" w:type="dxa"/>
              <w:right w:w="60" w:type="dxa"/>
            </w:tcMar>
          </w:tcPr>
          <w:p>
            <w:pPr>
              <w:spacing w:line="252" w:lineRule="auto"/>
            </w:pPr>
            <w:r>
              <w:rPr>
                <w:rFonts w:ascii="Arial" w:hAnsi="Arial"/>
                <w:color w:val="334155"/>
                <w:sz w:val="15"/>
              </w:rPr>
              <w:t>Rechazar juicio evaluativo no oficial (ej. 'B')</w:t>
            </w:r>
          </w:p>
        </w:tc>
        <w:tc>
          <w:tcPr>
            <w:tcW w:type="dxa" w:w="2160"/>
            <w:shd w:fill="FFFFFF"/>
            <w:tcMar>
              <w:top w:w="50" w:type="dxa"/>
              <w:bottom w:w="50" w:type="dxa"/>
              <w:left w:w="60" w:type="dxa"/>
              <w:right w:w="60" w:type="dxa"/>
            </w:tcMar>
          </w:tcPr>
          <w:p>
            <w:pPr>
              <w:spacing w:line="252" w:lineRule="auto"/>
            </w:pPr>
            <w:r>
              <w:rPr>
                <w:rFonts w:ascii="Arial" w:hAnsi="Arial"/>
                <w:color w:val="334155"/>
                <w:sz w:val="15"/>
              </w:rPr>
              <w:t>Llamar full_clean() asignando juicio 'B'</w:t>
            </w:r>
          </w:p>
        </w:tc>
        <w:tc>
          <w:tcPr>
            <w:tcW w:type="dxa" w:w="1584"/>
            <w:shd w:fill="FFFFFF"/>
            <w:tcMar>
              <w:top w:w="50" w:type="dxa"/>
              <w:bottom w:w="50" w:type="dxa"/>
              <w:left w:w="60" w:type="dxa"/>
              <w:right w:w="60" w:type="dxa"/>
            </w:tcMar>
          </w:tcPr>
          <w:p>
            <w:pPr>
              <w:spacing w:line="252" w:lineRule="auto"/>
            </w:pPr>
            <w:r>
              <w:rPr>
                <w:rFonts w:ascii="Arial" w:hAnsi="Arial"/>
                <w:color w:val="334155"/>
                <w:sz w:val="15"/>
              </w:rPr>
              <w:t>ValidationError lanzado: 'Debe ser A o D'</w:t>
            </w:r>
          </w:p>
        </w:tc>
        <w:tc>
          <w:tcPr>
            <w:tcW w:type="dxa" w:w="1152"/>
            <w:shd w:fill="FFFFFF"/>
            <w:tcMar>
              <w:top w:w="50" w:type="dxa"/>
              <w:bottom w:w="50" w:type="dxa"/>
              <w:left w:w="60" w:type="dxa"/>
              <w:right w:w="60" w:type="dxa"/>
            </w:tcMar>
          </w:tcPr>
          <w:p>
            <w:pPr>
              <w:spacing w:line="252" w:lineRule="auto"/>
            </w:pPr>
            <w:r>
              <w:rPr>
                <w:rFonts w:ascii="Arial" w:hAnsi="Arial"/>
                <w:b/>
                <w:color w:val="16A34A"/>
                <w:sz w:val="15"/>
              </w:rPr>
              <w:t>APROBADA</w:t>
            </w:r>
          </w:p>
        </w:tc>
      </w:tr>
      <w:tr>
        <w:tc>
          <w:tcPr>
            <w:tcW w:type="dxa" w:w="1008"/>
            <w:shd w:fill="F8FAFC"/>
            <w:tcMar>
              <w:top w:w="50" w:type="dxa"/>
              <w:bottom w:w="50" w:type="dxa"/>
              <w:left w:w="60" w:type="dxa"/>
              <w:right w:w="60" w:type="dxa"/>
            </w:tcMar>
          </w:tcPr>
          <w:p>
            <w:pPr>
              <w:spacing w:line="252" w:lineRule="auto"/>
            </w:pPr>
            <w:r>
              <w:rPr>
                <w:rFonts w:ascii="Arial" w:hAnsi="Arial"/>
                <w:b/>
                <w:color w:val="00324D"/>
                <w:sz w:val="15"/>
              </w:rPr>
              <w:t>PRU-07</w:t>
            </w:r>
          </w:p>
        </w:tc>
        <w:tc>
          <w:tcPr>
            <w:tcW w:type="dxa" w:w="1584"/>
            <w:shd w:fill="F8FAFC"/>
            <w:tcMar>
              <w:top w:w="50" w:type="dxa"/>
              <w:bottom w:w="50" w:type="dxa"/>
              <w:left w:w="60" w:type="dxa"/>
              <w:right w:w="60" w:type="dxa"/>
            </w:tcMar>
          </w:tcPr>
          <w:p>
            <w:pPr>
              <w:spacing w:line="252" w:lineRule="auto"/>
            </w:pPr>
            <w:r>
              <w:rPr>
                <w:rFonts w:ascii="Arial" w:hAnsi="Arial"/>
                <w:color w:val="334155"/>
                <w:sz w:val="15"/>
              </w:rPr>
              <w:t>Evaluaciones (RN-004)</w:t>
            </w:r>
          </w:p>
        </w:tc>
        <w:tc>
          <w:tcPr>
            <w:tcW w:type="dxa" w:w="2304"/>
            <w:shd w:fill="F8FAFC"/>
            <w:tcMar>
              <w:top w:w="50" w:type="dxa"/>
              <w:bottom w:w="50" w:type="dxa"/>
              <w:left w:w="60" w:type="dxa"/>
              <w:right w:w="60" w:type="dxa"/>
            </w:tcMar>
          </w:tcPr>
          <w:p>
            <w:pPr>
              <w:spacing w:line="252" w:lineRule="auto"/>
            </w:pPr>
            <w:r>
              <w:rPr>
                <w:rFonts w:ascii="Arial" w:hAnsi="Arial"/>
                <w:color w:val="334155"/>
                <w:sz w:val="15"/>
              </w:rPr>
              <w:t>Inmutabilidad por cierre formal de periodo</w:t>
            </w:r>
          </w:p>
        </w:tc>
        <w:tc>
          <w:tcPr>
            <w:tcW w:type="dxa" w:w="2160"/>
            <w:shd w:fill="F8FAFC"/>
            <w:tcMar>
              <w:top w:w="50" w:type="dxa"/>
              <w:bottom w:w="50" w:type="dxa"/>
              <w:left w:w="60" w:type="dxa"/>
              <w:right w:w="60" w:type="dxa"/>
            </w:tcMar>
          </w:tcPr>
          <w:p>
            <w:pPr>
              <w:spacing w:line="252" w:lineRule="auto"/>
            </w:pPr>
            <w:r>
              <w:rPr>
                <w:rFonts w:ascii="Arial" w:hAnsi="Arial"/>
                <w:color w:val="334155"/>
                <w:sz w:val="15"/>
              </w:rPr>
              <w:t>Intentar editar nota en ficha con periodo cerrado</w:t>
            </w:r>
          </w:p>
        </w:tc>
        <w:tc>
          <w:tcPr>
            <w:tcW w:type="dxa" w:w="1584"/>
            <w:shd w:fill="F8FAFC"/>
            <w:tcMar>
              <w:top w:w="50" w:type="dxa"/>
              <w:bottom w:w="50" w:type="dxa"/>
              <w:left w:w="60" w:type="dxa"/>
              <w:right w:w="60" w:type="dxa"/>
            </w:tcMar>
          </w:tcPr>
          <w:p>
            <w:pPr>
              <w:spacing w:line="252" w:lineRule="auto"/>
            </w:pPr>
            <w:r>
              <w:rPr>
                <w:rFonts w:ascii="Arial" w:hAnsi="Arial"/>
                <w:color w:val="334155"/>
                <w:sz w:val="15"/>
              </w:rPr>
              <w:t>ValidationError bloquea modificación de nota</w:t>
            </w:r>
          </w:p>
        </w:tc>
        <w:tc>
          <w:tcPr>
            <w:tcW w:type="dxa" w:w="1152"/>
            <w:shd w:fill="F8FAFC"/>
            <w:tcMar>
              <w:top w:w="50" w:type="dxa"/>
              <w:bottom w:w="50" w:type="dxa"/>
              <w:left w:w="60" w:type="dxa"/>
              <w:right w:w="60" w:type="dxa"/>
            </w:tcMar>
          </w:tcPr>
          <w:p>
            <w:pPr>
              <w:spacing w:line="252" w:lineRule="auto"/>
            </w:pPr>
            <w:r>
              <w:rPr>
                <w:rFonts w:ascii="Arial" w:hAnsi="Arial"/>
                <w:b/>
                <w:color w:val="16A34A"/>
                <w:sz w:val="15"/>
              </w:rPr>
              <w:t>APROBADA</w:t>
            </w:r>
          </w:p>
        </w:tc>
      </w:tr>
      <w:tr>
        <w:tc>
          <w:tcPr>
            <w:tcW w:type="dxa" w:w="1008"/>
            <w:shd w:fill="FFFFFF"/>
            <w:tcMar>
              <w:top w:w="50" w:type="dxa"/>
              <w:bottom w:w="50" w:type="dxa"/>
              <w:left w:w="60" w:type="dxa"/>
              <w:right w:w="60" w:type="dxa"/>
            </w:tcMar>
          </w:tcPr>
          <w:p>
            <w:pPr>
              <w:spacing w:line="252" w:lineRule="auto"/>
            </w:pPr>
            <w:r>
              <w:rPr>
                <w:rFonts w:ascii="Arial" w:hAnsi="Arial"/>
                <w:b/>
                <w:color w:val="00324D"/>
                <w:sz w:val="15"/>
              </w:rPr>
              <w:t>PRU-08</w:t>
            </w:r>
          </w:p>
        </w:tc>
        <w:tc>
          <w:tcPr>
            <w:tcW w:type="dxa" w:w="1584"/>
            <w:shd w:fill="FFFFFF"/>
            <w:tcMar>
              <w:top w:w="50" w:type="dxa"/>
              <w:bottom w:w="50" w:type="dxa"/>
              <w:left w:w="60" w:type="dxa"/>
              <w:right w:w="60" w:type="dxa"/>
            </w:tcMar>
          </w:tcPr>
          <w:p>
            <w:pPr>
              <w:spacing w:line="252" w:lineRule="auto"/>
            </w:pPr>
            <w:r>
              <w:rPr>
                <w:rFonts w:ascii="Arial" w:hAnsi="Arial"/>
                <w:color w:val="334155"/>
                <w:sz w:val="15"/>
              </w:rPr>
              <w:t>Usuarios / QR</w:t>
            </w:r>
          </w:p>
        </w:tc>
        <w:tc>
          <w:tcPr>
            <w:tcW w:type="dxa" w:w="2304"/>
            <w:shd w:fill="FFFFFF"/>
            <w:tcMar>
              <w:top w:w="50" w:type="dxa"/>
              <w:bottom w:w="50" w:type="dxa"/>
              <w:left w:w="60" w:type="dxa"/>
              <w:right w:w="60" w:type="dxa"/>
            </w:tcMar>
          </w:tcPr>
          <w:p>
            <w:pPr>
              <w:spacing w:line="252" w:lineRule="auto"/>
            </w:pPr>
            <w:r>
              <w:rPr>
                <w:rFonts w:ascii="Arial" w:hAnsi="Arial"/>
                <w:color w:val="334155"/>
                <w:sz w:val="15"/>
              </w:rPr>
              <w:t>Generar carnet estudiantil con código QR dinámico</w:t>
            </w:r>
          </w:p>
        </w:tc>
        <w:tc>
          <w:tcPr>
            <w:tcW w:type="dxa" w:w="2160"/>
            <w:shd w:fill="FFFFFF"/>
            <w:tcMar>
              <w:top w:w="50" w:type="dxa"/>
              <w:bottom w:w="50" w:type="dxa"/>
              <w:left w:w="60" w:type="dxa"/>
              <w:right w:w="60" w:type="dxa"/>
            </w:tcMar>
          </w:tcPr>
          <w:p>
            <w:pPr>
              <w:spacing w:line="252" w:lineRule="auto"/>
            </w:pPr>
            <w:r>
              <w:rPr>
                <w:rFonts w:ascii="Arial" w:hAnsi="Arial"/>
                <w:color w:val="334155"/>
                <w:sz w:val="15"/>
              </w:rPr>
              <w:t>Crear perfil Estudiante y verificar token UUID v4</w:t>
            </w:r>
          </w:p>
        </w:tc>
        <w:tc>
          <w:tcPr>
            <w:tcW w:type="dxa" w:w="1584"/>
            <w:shd w:fill="FFFFFF"/>
            <w:tcMar>
              <w:top w:w="50" w:type="dxa"/>
              <w:bottom w:w="50" w:type="dxa"/>
              <w:left w:w="60" w:type="dxa"/>
              <w:right w:w="60" w:type="dxa"/>
            </w:tcMar>
          </w:tcPr>
          <w:p>
            <w:pPr>
              <w:spacing w:line="252" w:lineRule="auto"/>
            </w:pPr>
            <w:r>
              <w:rPr>
                <w:rFonts w:ascii="Arial" w:hAnsi="Arial"/>
                <w:color w:val="334155"/>
                <w:sz w:val="15"/>
              </w:rPr>
              <w:t>Token generado, imagen PNG guardada en media</w:t>
            </w:r>
          </w:p>
        </w:tc>
        <w:tc>
          <w:tcPr>
            <w:tcW w:type="dxa" w:w="1152"/>
            <w:shd w:fill="FFFFFF"/>
            <w:tcMar>
              <w:top w:w="50" w:type="dxa"/>
              <w:bottom w:w="50" w:type="dxa"/>
              <w:left w:w="60" w:type="dxa"/>
              <w:right w:w="60" w:type="dxa"/>
            </w:tcMar>
          </w:tcPr>
          <w:p>
            <w:pPr>
              <w:spacing w:line="252" w:lineRule="auto"/>
            </w:pPr>
            <w:r>
              <w:rPr>
                <w:rFonts w:ascii="Arial" w:hAnsi="Arial"/>
                <w:b/>
                <w:color w:val="16A34A"/>
                <w:sz w:val="15"/>
              </w:rPr>
              <w:t>APROBADA</w:t>
            </w:r>
          </w:p>
        </w:tc>
      </w:tr>
      <w:tr>
        <w:tc>
          <w:tcPr>
            <w:tcW w:type="dxa" w:w="1008"/>
            <w:shd w:fill="F8FAFC"/>
            <w:tcMar>
              <w:top w:w="50" w:type="dxa"/>
              <w:bottom w:w="50" w:type="dxa"/>
              <w:left w:w="60" w:type="dxa"/>
              <w:right w:w="60" w:type="dxa"/>
            </w:tcMar>
          </w:tcPr>
          <w:p>
            <w:pPr>
              <w:spacing w:line="252" w:lineRule="auto"/>
            </w:pPr>
            <w:r>
              <w:rPr>
                <w:rFonts w:ascii="Arial" w:hAnsi="Arial"/>
                <w:b/>
                <w:color w:val="00324D"/>
                <w:sz w:val="15"/>
              </w:rPr>
              <w:t>PRU-09</w:t>
            </w:r>
          </w:p>
        </w:tc>
        <w:tc>
          <w:tcPr>
            <w:tcW w:type="dxa" w:w="1584"/>
            <w:shd w:fill="F8FAFC"/>
            <w:tcMar>
              <w:top w:w="50" w:type="dxa"/>
              <w:bottom w:w="50" w:type="dxa"/>
              <w:left w:w="60" w:type="dxa"/>
              <w:right w:w="60" w:type="dxa"/>
            </w:tcMar>
          </w:tcPr>
          <w:p>
            <w:pPr>
              <w:spacing w:line="252" w:lineRule="auto"/>
            </w:pPr>
            <w:r>
              <w:rPr>
                <w:rFonts w:ascii="Arial" w:hAnsi="Arial"/>
                <w:color w:val="334155"/>
                <w:sz w:val="15"/>
              </w:rPr>
              <w:t>Seguridad / CSRF</w:t>
            </w:r>
          </w:p>
        </w:tc>
        <w:tc>
          <w:tcPr>
            <w:tcW w:type="dxa" w:w="2304"/>
            <w:shd w:fill="F8FAFC"/>
            <w:tcMar>
              <w:top w:w="50" w:type="dxa"/>
              <w:bottom w:w="50" w:type="dxa"/>
              <w:left w:w="60" w:type="dxa"/>
              <w:right w:w="60" w:type="dxa"/>
            </w:tcMar>
          </w:tcPr>
          <w:p>
            <w:pPr>
              <w:spacing w:line="252" w:lineRule="auto"/>
            </w:pPr>
            <w:r>
              <w:rPr>
                <w:rFonts w:ascii="Arial" w:hAnsi="Arial"/>
                <w:color w:val="334155"/>
                <w:sz w:val="15"/>
              </w:rPr>
              <w:t>Mitigar peticiones POST sin token de seguridad</w:t>
            </w:r>
          </w:p>
        </w:tc>
        <w:tc>
          <w:tcPr>
            <w:tcW w:type="dxa" w:w="2160"/>
            <w:shd w:fill="F8FAFC"/>
            <w:tcMar>
              <w:top w:w="50" w:type="dxa"/>
              <w:bottom w:w="50" w:type="dxa"/>
              <w:left w:w="60" w:type="dxa"/>
              <w:right w:w="60" w:type="dxa"/>
            </w:tcMar>
          </w:tcPr>
          <w:p>
            <w:pPr>
              <w:spacing w:line="252" w:lineRule="auto"/>
            </w:pPr>
            <w:r>
              <w:rPr>
                <w:rFonts w:ascii="Arial" w:hAnsi="Arial"/>
                <w:color w:val="334155"/>
                <w:sz w:val="15"/>
              </w:rPr>
              <w:t>Petición POST directa a /login/ sin token CSRF</w:t>
            </w:r>
          </w:p>
        </w:tc>
        <w:tc>
          <w:tcPr>
            <w:tcW w:type="dxa" w:w="1584"/>
            <w:shd w:fill="F8FAFC"/>
            <w:tcMar>
              <w:top w:w="50" w:type="dxa"/>
              <w:bottom w:w="50" w:type="dxa"/>
              <w:left w:w="60" w:type="dxa"/>
              <w:right w:w="60" w:type="dxa"/>
            </w:tcMar>
          </w:tcPr>
          <w:p>
            <w:pPr>
              <w:spacing w:line="252" w:lineRule="auto"/>
            </w:pPr>
            <w:r>
              <w:rPr>
                <w:rFonts w:ascii="Arial" w:hAnsi="Arial"/>
                <w:color w:val="334155"/>
                <w:sz w:val="15"/>
              </w:rPr>
              <w:t>HTTP 403 Forbidden invocado limpiamente</w:t>
            </w:r>
          </w:p>
        </w:tc>
        <w:tc>
          <w:tcPr>
            <w:tcW w:type="dxa" w:w="1152"/>
            <w:shd w:fill="F8FAFC"/>
            <w:tcMar>
              <w:top w:w="50" w:type="dxa"/>
              <w:bottom w:w="50" w:type="dxa"/>
              <w:left w:w="60" w:type="dxa"/>
              <w:right w:w="60" w:type="dxa"/>
            </w:tcMar>
          </w:tcPr>
          <w:p>
            <w:pPr>
              <w:spacing w:line="252" w:lineRule="auto"/>
            </w:pPr>
            <w:r>
              <w:rPr>
                <w:rFonts w:ascii="Arial" w:hAnsi="Arial"/>
                <w:b/>
                <w:color w:val="16A34A"/>
                <w:sz w:val="15"/>
              </w:rPr>
              <w:t>APROBADA</w:t>
            </w:r>
          </w:p>
        </w:tc>
      </w:tr>
      <w:tr>
        <w:tc>
          <w:tcPr>
            <w:tcW w:type="dxa" w:w="1008"/>
            <w:shd w:fill="FFFFFF"/>
            <w:tcMar>
              <w:top w:w="50" w:type="dxa"/>
              <w:bottom w:w="50" w:type="dxa"/>
              <w:left w:w="60" w:type="dxa"/>
              <w:right w:w="60" w:type="dxa"/>
            </w:tcMar>
          </w:tcPr>
          <w:p>
            <w:pPr>
              <w:spacing w:line="252" w:lineRule="auto"/>
            </w:pPr>
            <w:r>
              <w:rPr>
                <w:rFonts w:ascii="Arial" w:hAnsi="Arial"/>
                <w:b/>
                <w:color w:val="00324D"/>
                <w:sz w:val="15"/>
              </w:rPr>
              <w:t>PRU-10</w:t>
            </w:r>
          </w:p>
        </w:tc>
        <w:tc>
          <w:tcPr>
            <w:tcW w:type="dxa" w:w="1584"/>
            <w:shd w:fill="FFFFFF"/>
            <w:tcMar>
              <w:top w:w="50" w:type="dxa"/>
              <w:bottom w:w="50" w:type="dxa"/>
              <w:left w:w="60" w:type="dxa"/>
              <w:right w:w="60" w:type="dxa"/>
            </w:tcMar>
          </w:tcPr>
          <w:p>
            <w:pPr>
              <w:spacing w:line="252" w:lineRule="auto"/>
            </w:pPr>
            <w:r>
              <w:rPr>
                <w:rFonts w:ascii="Arial" w:hAnsi="Arial"/>
                <w:color w:val="334155"/>
                <w:sz w:val="15"/>
              </w:rPr>
              <w:t>Panel Admin</w:t>
            </w:r>
          </w:p>
        </w:tc>
        <w:tc>
          <w:tcPr>
            <w:tcW w:type="dxa" w:w="2304"/>
            <w:shd w:fill="FFFFFF"/>
            <w:tcMar>
              <w:top w:w="50" w:type="dxa"/>
              <w:bottom w:w="50" w:type="dxa"/>
              <w:left w:w="60" w:type="dxa"/>
              <w:right w:w="60" w:type="dxa"/>
            </w:tcMar>
          </w:tcPr>
          <w:p>
            <w:pPr>
              <w:spacing w:line="252" w:lineRule="auto"/>
            </w:pPr>
            <w:r>
              <w:rPr>
                <w:rFonts w:ascii="Arial" w:hAnsi="Arial"/>
                <w:color w:val="334155"/>
                <w:sz w:val="15"/>
              </w:rPr>
              <w:t>Verificar acceso y métricas del panel Administrador</w:t>
            </w:r>
          </w:p>
        </w:tc>
        <w:tc>
          <w:tcPr>
            <w:tcW w:type="dxa" w:w="2160"/>
            <w:shd w:fill="FFFFFF"/>
            <w:tcMar>
              <w:top w:w="50" w:type="dxa"/>
              <w:bottom w:w="50" w:type="dxa"/>
              <w:left w:w="60" w:type="dxa"/>
              <w:right w:w="60" w:type="dxa"/>
            </w:tcMar>
          </w:tcPr>
          <w:p>
            <w:pPr>
              <w:spacing w:line="252" w:lineRule="auto"/>
            </w:pPr>
            <w:r>
              <w:rPr>
                <w:rFonts w:ascii="Arial" w:hAnsi="Arial"/>
                <w:color w:val="334155"/>
                <w:sz w:val="15"/>
              </w:rPr>
              <w:t>GET /dashboard/ autenticado como admin</w:t>
            </w:r>
          </w:p>
        </w:tc>
        <w:tc>
          <w:tcPr>
            <w:tcW w:type="dxa" w:w="1584"/>
            <w:shd w:fill="FFFFFF"/>
            <w:tcMar>
              <w:top w:w="50" w:type="dxa"/>
              <w:bottom w:w="50" w:type="dxa"/>
              <w:left w:w="60" w:type="dxa"/>
              <w:right w:w="60" w:type="dxa"/>
            </w:tcMar>
          </w:tcPr>
          <w:p>
            <w:pPr>
              <w:spacing w:line="252" w:lineRule="auto"/>
            </w:pPr>
            <w:r>
              <w:rPr>
                <w:rFonts w:ascii="Arial" w:hAnsi="Arial"/>
                <w:color w:val="334155"/>
                <w:sz w:val="15"/>
              </w:rPr>
              <w:t>HTTP 200, muestra 1 docente, 1 estudiante, 1 mat.</w:t>
            </w:r>
          </w:p>
        </w:tc>
        <w:tc>
          <w:tcPr>
            <w:tcW w:type="dxa" w:w="1152"/>
            <w:shd w:fill="FFFFFF"/>
            <w:tcMar>
              <w:top w:w="50" w:type="dxa"/>
              <w:bottom w:w="50" w:type="dxa"/>
              <w:left w:w="60" w:type="dxa"/>
              <w:right w:w="60" w:type="dxa"/>
            </w:tcMar>
          </w:tcPr>
          <w:p>
            <w:pPr>
              <w:spacing w:line="252" w:lineRule="auto"/>
            </w:pPr>
            <w:r>
              <w:rPr>
                <w:rFonts w:ascii="Arial" w:hAnsi="Arial"/>
                <w:b/>
                <w:color w:val="16A34A"/>
                <w:sz w:val="15"/>
              </w:rPr>
              <w:t>APROBADA</w:t>
            </w:r>
          </w:p>
        </w:tc>
      </w:tr>
      <w:tr>
        <w:tc>
          <w:tcPr>
            <w:tcW w:type="dxa" w:w="1008"/>
            <w:shd w:fill="F8FAFC"/>
            <w:tcMar>
              <w:top w:w="50" w:type="dxa"/>
              <w:bottom w:w="50" w:type="dxa"/>
              <w:left w:w="60" w:type="dxa"/>
              <w:right w:w="60" w:type="dxa"/>
            </w:tcMar>
          </w:tcPr>
          <w:p>
            <w:pPr>
              <w:spacing w:line="252" w:lineRule="auto"/>
            </w:pPr>
            <w:r>
              <w:rPr>
                <w:rFonts w:ascii="Arial" w:hAnsi="Arial"/>
                <w:b/>
                <w:color w:val="00324D"/>
                <w:sz w:val="15"/>
              </w:rPr>
              <w:t>PRU-11</w:t>
            </w:r>
          </w:p>
        </w:tc>
        <w:tc>
          <w:tcPr>
            <w:tcW w:type="dxa" w:w="1584"/>
            <w:shd w:fill="F8FAFC"/>
            <w:tcMar>
              <w:top w:w="50" w:type="dxa"/>
              <w:bottom w:w="50" w:type="dxa"/>
              <w:left w:w="60" w:type="dxa"/>
              <w:right w:w="60" w:type="dxa"/>
            </w:tcMar>
          </w:tcPr>
          <w:p>
            <w:pPr>
              <w:spacing w:line="252" w:lineRule="auto"/>
            </w:pPr>
            <w:r>
              <w:rPr>
                <w:rFonts w:ascii="Arial" w:hAnsi="Arial"/>
                <w:color w:val="334155"/>
                <w:sz w:val="15"/>
              </w:rPr>
              <w:t>Panel Rector</w:t>
            </w:r>
          </w:p>
        </w:tc>
        <w:tc>
          <w:tcPr>
            <w:tcW w:type="dxa" w:w="2304"/>
            <w:shd w:fill="F8FAFC"/>
            <w:tcMar>
              <w:top w:w="50" w:type="dxa"/>
              <w:bottom w:w="50" w:type="dxa"/>
              <w:left w:w="60" w:type="dxa"/>
              <w:right w:w="60" w:type="dxa"/>
            </w:tcMar>
          </w:tcPr>
          <w:p>
            <w:pPr>
              <w:spacing w:line="252" w:lineRule="auto"/>
            </w:pPr>
            <w:r>
              <w:rPr>
                <w:rFonts w:ascii="Arial" w:hAnsi="Arial"/>
                <w:color w:val="334155"/>
                <w:sz w:val="15"/>
              </w:rPr>
              <w:t>Verificar disponibilidad del panel de Rectoría</w:t>
            </w:r>
          </w:p>
        </w:tc>
        <w:tc>
          <w:tcPr>
            <w:tcW w:type="dxa" w:w="2160"/>
            <w:shd w:fill="F8FAFC"/>
            <w:tcMar>
              <w:top w:w="50" w:type="dxa"/>
              <w:bottom w:w="50" w:type="dxa"/>
              <w:left w:w="60" w:type="dxa"/>
              <w:right w:w="60" w:type="dxa"/>
            </w:tcMar>
          </w:tcPr>
          <w:p>
            <w:pPr>
              <w:spacing w:line="252" w:lineRule="auto"/>
            </w:pPr>
            <w:r>
              <w:rPr>
                <w:rFonts w:ascii="Arial" w:hAnsi="Arial"/>
                <w:color w:val="334155"/>
                <w:sz w:val="15"/>
              </w:rPr>
              <w:t>GET /rectoria/ autenticado como rector</w:t>
            </w:r>
          </w:p>
        </w:tc>
        <w:tc>
          <w:tcPr>
            <w:tcW w:type="dxa" w:w="1584"/>
            <w:shd w:fill="F8FAFC"/>
            <w:tcMar>
              <w:top w:w="50" w:type="dxa"/>
              <w:bottom w:w="50" w:type="dxa"/>
              <w:left w:w="60" w:type="dxa"/>
              <w:right w:w="60" w:type="dxa"/>
            </w:tcMar>
          </w:tcPr>
          <w:p>
            <w:pPr>
              <w:spacing w:line="252" w:lineRule="auto"/>
            </w:pPr>
            <w:r>
              <w:rPr>
                <w:rFonts w:ascii="Arial" w:hAnsi="Arial"/>
                <w:color w:val="334155"/>
                <w:sz w:val="15"/>
              </w:rPr>
              <w:t>HTTP 200, panel directivo accesible y operativo</w:t>
            </w:r>
          </w:p>
        </w:tc>
        <w:tc>
          <w:tcPr>
            <w:tcW w:type="dxa" w:w="1152"/>
            <w:shd w:fill="F8FAFC"/>
            <w:tcMar>
              <w:top w:w="50" w:type="dxa"/>
              <w:bottom w:w="50" w:type="dxa"/>
              <w:left w:w="60" w:type="dxa"/>
              <w:right w:w="60" w:type="dxa"/>
            </w:tcMar>
          </w:tcPr>
          <w:p>
            <w:pPr>
              <w:spacing w:line="252" w:lineRule="auto"/>
            </w:pPr>
            <w:r>
              <w:rPr>
                <w:rFonts w:ascii="Arial" w:hAnsi="Arial"/>
                <w:b/>
                <w:color w:val="16A34A"/>
                <w:sz w:val="15"/>
              </w:rPr>
              <w:t>APROBADA</w:t>
            </w:r>
          </w:p>
        </w:tc>
      </w:tr>
      <w:tr>
        <w:tc>
          <w:tcPr>
            <w:tcW w:type="dxa" w:w="1008"/>
            <w:shd w:fill="FFFFFF"/>
            <w:tcMar>
              <w:top w:w="50" w:type="dxa"/>
              <w:bottom w:w="50" w:type="dxa"/>
              <w:left w:w="60" w:type="dxa"/>
              <w:right w:w="60" w:type="dxa"/>
            </w:tcMar>
          </w:tcPr>
          <w:p>
            <w:pPr>
              <w:spacing w:line="252" w:lineRule="auto"/>
            </w:pPr>
            <w:r>
              <w:rPr>
                <w:rFonts w:ascii="Arial" w:hAnsi="Arial"/>
                <w:b/>
                <w:color w:val="00324D"/>
                <w:sz w:val="15"/>
              </w:rPr>
              <w:t>PRU-12</w:t>
            </w:r>
          </w:p>
        </w:tc>
        <w:tc>
          <w:tcPr>
            <w:tcW w:type="dxa" w:w="1584"/>
            <w:shd w:fill="FFFFFF"/>
            <w:tcMar>
              <w:top w:w="50" w:type="dxa"/>
              <w:bottom w:w="50" w:type="dxa"/>
              <w:left w:w="60" w:type="dxa"/>
              <w:right w:w="60" w:type="dxa"/>
            </w:tcMar>
          </w:tcPr>
          <w:p>
            <w:pPr>
              <w:spacing w:line="252" w:lineRule="auto"/>
            </w:pPr>
            <w:r>
              <w:rPr>
                <w:rFonts w:ascii="Arial" w:hAnsi="Arial"/>
                <w:color w:val="334155"/>
                <w:sz w:val="15"/>
              </w:rPr>
              <w:t>Panel Secretaría</w:t>
            </w:r>
          </w:p>
        </w:tc>
        <w:tc>
          <w:tcPr>
            <w:tcW w:type="dxa" w:w="2304"/>
            <w:shd w:fill="FFFFFF"/>
            <w:tcMar>
              <w:top w:w="50" w:type="dxa"/>
              <w:bottom w:w="50" w:type="dxa"/>
              <w:left w:w="60" w:type="dxa"/>
              <w:right w:w="60" w:type="dxa"/>
            </w:tcMar>
          </w:tcPr>
          <w:p>
            <w:pPr>
              <w:spacing w:line="252" w:lineRule="auto"/>
            </w:pPr>
            <w:r>
              <w:rPr>
                <w:rFonts w:ascii="Arial" w:hAnsi="Arial"/>
                <w:color w:val="334155"/>
                <w:sz w:val="15"/>
              </w:rPr>
              <w:t>Verificar acceso a /secretaria/ y nueva matrícula</w:t>
            </w:r>
          </w:p>
        </w:tc>
        <w:tc>
          <w:tcPr>
            <w:tcW w:type="dxa" w:w="2160"/>
            <w:shd w:fill="FFFFFF"/>
            <w:tcMar>
              <w:top w:w="50" w:type="dxa"/>
              <w:bottom w:w="50" w:type="dxa"/>
              <w:left w:w="60" w:type="dxa"/>
              <w:right w:w="60" w:type="dxa"/>
            </w:tcMar>
          </w:tcPr>
          <w:p>
            <w:pPr>
              <w:spacing w:line="252" w:lineRule="auto"/>
            </w:pPr>
            <w:r>
              <w:rPr>
                <w:rFonts w:ascii="Arial" w:hAnsi="Arial"/>
                <w:color w:val="334155"/>
                <w:sz w:val="15"/>
              </w:rPr>
              <w:t>GET /secretaria/ y GET /nueva_matricula/</w:t>
            </w:r>
          </w:p>
        </w:tc>
        <w:tc>
          <w:tcPr>
            <w:tcW w:type="dxa" w:w="1584"/>
            <w:shd w:fill="FFFFFF"/>
            <w:tcMar>
              <w:top w:w="50" w:type="dxa"/>
              <w:bottom w:w="50" w:type="dxa"/>
              <w:left w:w="60" w:type="dxa"/>
              <w:right w:w="60" w:type="dxa"/>
            </w:tcMar>
          </w:tcPr>
          <w:p>
            <w:pPr>
              <w:spacing w:line="252" w:lineRule="auto"/>
            </w:pPr>
            <w:r>
              <w:rPr>
                <w:rFonts w:ascii="Arial" w:hAnsi="Arial"/>
                <w:color w:val="334155"/>
                <w:sz w:val="15"/>
              </w:rPr>
              <w:t>HTTP 200 en ambas rutas, formularios listos</w:t>
            </w:r>
          </w:p>
        </w:tc>
        <w:tc>
          <w:tcPr>
            <w:tcW w:type="dxa" w:w="1152"/>
            <w:shd w:fill="FFFFFF"/>
            <w:tcMar>
              <w:top w:w="50" w:type="dxa"/>
              <w:bottom w:w="50" w:type="dxa"/>
              <w:left w:w="60" w:type="dxa"/>
              <w:right w:w="60" w:type="dxa"/>
            </w:tcMar>
          </w:tcPr>
          <w:p>
            <w:pPr>
              <w:spacing w:line="252" w:lineRule="auto"/>
            </w:pPr>
            <w:r>
              <w:rPr>
                <w:rFonts w:ascii="Arial" w:hAnsi="Arial"/>
                <w:b/>
                <w:color w:val="16A34A"/>
                <w:sz w:val="15"/>
              </w:rPr>
              <w:t>APROBADA</w:t>
            </w:r>
          </w:p>
        </w:tc>
      </w:tr>
      <w:tr>
        <w:tc>
          <w:tcPr>
            <w:tcW w:type="dxa" w:w="1008"/>
            <w:shd w:fill="F8FAFC"/>
            <w:tcMar>
              <w:top w:w="50" w:type="dxa"/>
              <w:bottom w:w="50" w:type="dxa"/>
              <w:left w:w="60" w:type="dxa"/>
              <w:right w:w="60" w:type="dxa"/>
            </w:tcMar>
          </w:tcPr>
          <w:p>
            <w:pPr>
              <w:spacing w:line="252" w:lineRule="auto"/>
            </w:pPr>
            <w:r>
              <w:rPr>
                <w:rFonts w:ascii="Arial" w:hAnsi="Arial"/>
                <w:b/>
                <w:color w:val="00324D"/>
                <w:sz w:val="15"/>
              </w:rPr>
              <w:t>PRU-13</w:t>
            </w:r>
          </w:p>
        </w:tc>
        <w:tc>
          <w:tcPr>
            <w:tcW w:type="dxa" w:w="1584"/>
            <w:shd w:fill="F8FAFC"/>
            <w:tcMar>
              <w:top w:w="50" w:type="dxa"/>
              <w:bottom w:w="50" w:type="dxa"/>
              <w:left w:w="60" w:type="dxa"/>
              <w:right w:w="60" w:type="dxa"/>
            </w:tcMar>
          </w:tcPr>
          <w:p>
            <w:pPr>
              <w:spacing w:line="252" w:lineRule="auto"/>
            </w:pPr>
            <w:r>
              <w:rPr>
                <w:rFonts w:ascii="Arial" w:hAnsi="Arial"/>
                <w:color w:val="334155"/>
                <w:sz w:val="15"/>
              </w:rPr>
              <w:t>Panel Docente</w:t>
            </w:r>
          </w:p>
        </w:tc>
        <w:tc>
          <w:tcPr>
            <w:tcW w:type="dxa" w:w="2304"/>
            <w:shd w:fill="F8FAFC"/>
            <w:tcMar>
              <w:top w:w="50" w:type="dxa"/>
              <w:bottom w:w="50" w:type="dxa"/>
              <w:left w:w="60" w:type="dxa"/>
              <w:right w:w="60" w:type="dxa"/>
            </w:tcMar>
          </w:tcPr>
          <w:p>
            <w:pPr>
              <w:spacing w:line="252" w:lineRule="auto"/>
            </w:pPr>
            <w:r>
              <w:rPr>
                <w:rFonts w:ascii="Arial" w:hAnsi="Arial"/>
                <w:color w:val="334155"/>
                <w:sz w:val="15"/>
              </w:rPr>
              <w:t>Verificar panel docente y lista exacta de estudiantes</w:t>
            </w:r>
          </w:p>
        </w:tc>
        <w:tc>
          <w:tcPr>
            <w:tcW w:type="dxa" w:w="2160"/>
            <w:shd w:fill="F8FAFC"/>
            <w:tcMar>
              <w:top w:w="50" w:type="dxa"/>
              <w:bottom w:w="50" w:type="dxa"/>
              <w:left w:w="60" w:type="dxa"/>
              <w:right w:w="60" w:type="dxa"/>
            </w:tcMar>
          </w:tcPr>
          <w:p>
            <w:pPr>
              <w:spacing w:line="252" w:lineRule="auto"/>
            </w:pPr>
            <w:r>
              <w:rPr>
                <w:rFonts w:ascii="Arial" w:hAnsi="Arial"/>
                <w:color w:val="334155"/>
                <w:sz w:val="15"/>
              </w:rPr>
              <w:t>GET /docente/ autenticado como docente</w:t>
            </w:r>
          </w:p>
        </w:tc>
        <w:tc>
          <w:tcPr>
            <w:tcW w:type="dxa" w:w="1584"/>
            <w:shd w:fill="F8FAFC"/>
            <w:tcMar>
              <w:top w:w="50" w:type="dxa"/>
              <w:bottom w:w="50" w:type="dxa"/>
              <w:left w:w="60" w:type="dxa"/>
              <w:right w:w="60" w:type="dxa"/>
            </w:tcMar>
          </w:tcPr>
          <w:p>
            <w:pPr>
              <w:spacing w:line="252" w:lineRule="auto"/>
            </w:pPr>
            <w:r>
              <w:rPr>
                <w:rFonts w:ascii="Arial" w:hAnsi="Arial"/>
                <w:color w:val="334155"/>
                <w:sz w:val="15"/>
              </w:rPr>
              <w:t>HTTP 200, muestra únicamente a Juan Pérez (1 est)</w:t>
            </w:r>
          </w:p>
        </w:tc>
        <w:tc>
          <w:tcPr>
            <w:tcW w:type="dxa" w:w="1152"/>
            <w:shd w:fill="F8FAFC"/>
            <w:tcMar>
              <w:top w:w="50" w:type="dxa"/>
              <w:bottom w:w="50" w:type="dxa"/>
              <w:left w:w="60" w:type="dxa"/>
              <w:right w:w="60" w:type="dxa"/>
            </w:tcMar>
          </w:tcPr>
          <w:p>
            <w:pPr>
              <w:spacing w:line="252" w:lineRule="auto"/>
            </w:pPr>
            <w:r>
              <w:rPr>
                <w:rFonts w:ascii="Arial" w:hAnsi="Arial"/>
                <w:b/>
                <w:color w:val="16A34A"/>
                <w:sz w:val="15"/>
              </w:rPr>
              <w:t>APROBADA</w:t>
            </w:r>
          </w:p>
        </w:tc>
      </w:tr>
      <w:tr>
        <w:tc>
          <w:tcPr>
            <w:tcW w:type="dxa" w:w="1008"/>
            <w:shd w:fill="FFFFFF"/>
            <w:tcMar>
              <w:top w:w="50" w:type="dxa"/>
              <w:bottom w:w="50" w:type="dxa"/>
              <w:left w:w="60" w:type="dxa"/>
              <w:right w:w="60" w:type="dxa"/>
            </w:tcMar>
          </w:tcPr>
          <w:p>
            <w:pPr>
              <w:spacing w:line="252" w:lineRule="auto"/>
            </w:pPr>
            <w:r>
              <w:rPr>
                <w:rFonts w:ascii="Arial" w:hAnsi="Arial"/>
                <w:b/>
                <w:color w:val="00324D"/>
                <w:sz w:val="15"/>
              </w:rPr>
              <w:t>PRU-14</w:t>
            </w:r>
          </w:p>
        </w:tc>
        <w:tc>
          <w:tcPr>
            <w:tcW w:type="dxa" w:w="1584"/>
            <w:shd w:fill="FFFFFF"/>
            <w:tcMar>
              <w:top w:w="50" w:type="dxa"/>
              <w:bottom w:w="50" w:type="dxa"/>
              <w:left w:w="60" w:type="dxa"/>
              <w:right w:w="60" w:type="dxa"/>
            </w:tcMar>
          </w:tcPr>
          <w:p>
            <w:pPr>
              <w:spacing w:line="252" w:lineRule="auto"/>
            </w:pPr>
            <w:r>
              <w:rPr>
                <w:rFonts w:ascii="Arial" w:hAnsi="Arial"/>
                <w:color w:val="334155"/>
                <w:sz w:val="15"/>
              </w:rPr>
              <w:t>Panel Estudiante</w:t>
            </w:r>
          </w:p>
        </w:tc>
        <w:tc>
          <w:tcPr>
            <w:tcW w:type="dxa" w:w="2304"/>
            <w:shd w:fill="FFFFFF"/>
            <w:tcMar>
              <w:top w:w="50" w:type="dxa"/>
              <w:bottom w:w="50" w:type="dxa"/>
              <w:left w:w="60" w:type="dxa"/>
              <w:right w:w="60" w:type="dxa"/>
            </w:tcMar>
          </w:tcPr>
          <w:p>
            <w:pPr>
              <w:spacing w:line="252" w:lineRule="auto"/>
            </w:pPr>
            <w:r>
              <w:rPr>
                <w:rFonts w:ascii="Arial" w:hAnsi="Arial"/>
                <w:color w:val="334155"/>
                <w:sz w:val="15"/>
              </w:rPr>
              <w:t>Verificar subpaneles de notas, horario y tareas</w:t>
            </w:r>
          </w:p>
        </w:tc>
        <w:tc>
          <w:tcPr>
            <w:tcW w:type="dxa" w:w="2160"/>
            <w:shd w:fill="FFFFFF"/>
            <w:tcMar>
              <w:top w:w="50" w:type="dxa"/>
              <w:bottom w:w="50" w:type="dxa"/>
              <w:left w:w="60" w:type="dxa"/>
              <w:right w:w="60" w:type="dxa"/>
            </w:tcMar>
          </w:tcPr>
          <w:p>
            <w:pPr>
              <w:spacing w:line="252" w:lineRule="auto"/>
            </w:pPr>
            <w:r>
              <w:rPr>
                <w:rFonts w:ascii="Arial" w:hAnsi="Arial"/>
                <w:color w:val="334155"/>
                <w:sz w:val="15"/>
              </w:rPr>
              <w:t>GET /estudiante/calificaciones/, /horario/, etc.</w:t>
            </w:r>
          </w:p>
        </w:tc>
        <w:tc>
          <w:tcPr>
            <w:tcW w:type="dxa" w:w="1584"/>
            <w:shd w:fill="FFFFFF"/>
            <w:tcMar>
              <w:top w:w="50" w:type="dxa"/>
              <w:bottom w:w="50" w:type="dxa"/>
              <w:left w:w="60" w:type="dxa"/>
              <w:right w:w="60" w:type="dxa"/>
            </w:tcMar>
          </w:tcPr>
          <w:p>
            <w:pPr>
              <w:spacing w:line="252" w:lineRule="auto"/>
            </w:pPr>
            <w:r>
              <w:rPr>
                <w:rFonts w:ascii="Arial" w:hAnsi="Arial"/>
                <w:color w:val="334155"/>
                <w:sz w:val="15"/>
              </w:rPr>
              <w:t>HTTP 200 en los 5 subpaneles, interfaz activa</w:t>
            </w:r>
          </w:p>
        </w:tc>
        <w:tc>
          <w:tcPr>
            <w:tcW w:type="dxa" w:w="1152"/>
            <w:shd w:fill="FFFFFF"/>
            <w:tcMar>
              <w:top w:w="50" w:type="dxa"/>
              <w:bottom w:w="50" w:type="dxa"/>
              <w:left w:w="60" w:type="dxa"/>
              <w:right w:w="60" w:type="dxa"/>
            </w:tcMar>
          </w:tcPr>
          <w:p>
            <w:pPr>
              <w:spacing w:line="252" w:lineRule="auto"/>
            </w:pPr>
            <w:r>
              <w:rPr>
                <w:rFonts w:ascii="Arial" w:hAnsi="Arial"/>
                <w:b/>
                <w:color w:val="16A34A"/>
                <w:sz w:val="15"/>
              </w:rPr>
              <w:t>APROBADA</w:t>
            </w:r>
          </w:p>
        </w:tc>
      </w:tr>
      <w:tr>
        <w:tc>
          <w:tcPr>
            <w:tcW w:type="dxa" w:w="1008"/>
            <w:shd w:fill="F8FAFC"/>
            <w:tcMar>
              <w:top w:w="50" w:type="dxa"/>
              <w:bottom w:w="50" w:type="dxa"/>
              <w:left w:w="60" w:type="dxa"/>
              <w:right w:w="60" w:type="dxa"/>
            </w:tcMar>
          </w:tcPr>
          <w:p>
            <w:pPr>
              <w:spacing w:line="252" w:lineRule="auto"/>
            </w:pPr>
            <w:r>
              <w:rPr>
                <w:rFonts w:ascii="Arial" w:hAnsi="Arial"/>
                <w:b/>
                <w:color w:val="00324D"/>
                <w:sz w:val="15"/>
              </w:rPr>
              <w:t>PRU-15</w:t>
            </w:r>
          </w:p>
        </w:tc>
        <w:tc>
          <w:tcPr>
            <w:tcW w:type="dxa" w:w="1584"/>
            <w:shd w:fill="F8FAFC"/>
            <w:tcMar>
              <w:top w:w="50" w:type="dxa"/>
              <w:bottom w:w="50" w:type="dxa"/>
              <w:left w:w="60" w:type="dxa"/>
              <w:right w:w="60" w:type="dxa"/>
            </w:tcMar>
          </w:tcPr>
          <w:p>
            <w:pPr>
              <w:spacing w:line="252" w:lineRule="auto"/>
            </w:pPr>
            <w:r>
              <w:rPr>
                <w:rFonts w:ascii="Arial" w:hAnsi="Arial"/>
                <w:color w:val="334155"/>
                <w:sz w:val="15"/>
              </w:rPr>
              <w:t>Despliegue Cloud</w:t>
            </w:r>
          </w:p>
        </w:tc>
        <w:tc>
          <w:tcPr>
            <w:tcW w:type="dxa" w:w="2304"/>
            <w:shd w:fill="F8FAFC"/>
            <w:tcMar>
              <w:top w:w="50" w:type="dxa"/>
              <w:bottom w:w="50" w:type="dxa"/>
              <w:left w:w="60" w:type="dxa"/>
              <w:right w:w="60" w:type="dxa"/>
            </w:tcMar>
          </w:tcPr>
          <w:p>
            <w:pPr>
              <w:spacing w:line="252" w:lineRule="auto"/>
            </w:pPr>
            <w:r>
              <w:rPr>
                <w:rFonts w:ascii="Arial" w:hAnsi="Arial"/>
                <w:color w:val="334155"/>
                <w:sz w:val="15"/>
              </w:rPr>
              <w:t>Comprobar disponibilidad de EduNova en Render</w:t>
            </w:r>
          </w:p>
        </w:tc>
        <w:tc>
          <w:tcPr>
            <w:tcW w:type="dxa" w:w="2160"/>
            <w:shd w:fill="F8FAFC"/>
            <w:tcMar>
              <w:top w:w="50" w:type="dxa"/>
              <w:bottom w:w="50" w:type="dxa"/>
              <w:left w:w="60" w:type="dxa"/>
              <w:right w:w="60" w:type="dxa"/>
            </w:tcMar>
          </w:tcPr>
          <w:p>
            <w:pPr>
              <w:spacing w:line="252" w:lineRule="auto"/>
            </w:pPr>
            <w:r>
              <w:rPr>
                <w:rFonts w:ascii="Arial" w:hAnsi="Arial"/>
                <w:color w:val="334155"/>
                <w:sz w:val="15"/>
              </w:rPr>
              <w:t>HTTP GET a https://sinetec-1.onrender.com/</w:t>
            </w:r>
          </w:p>
        </w:tc>
        <w:tc>
          <w:tcPr>
            <w:tcW w:type="dxa" w:w="1584"/>
            <w:shd w:fill="F8FAFC"/>
            <w:tcMar>
              <w:top w:w="50" w:type="dxa"/>
              <w:bottom w:w="50" w:type="dxa"/>
              <w:left w:w="60" w:type="dxa"/>
              <w:right w:w="60" w:type="dxa"/>
            </w:tcMar>
          </w:tcPr>
          <w:p>
            <w:pPr>
              <w:spacing w:line="252" w:lineRule="auto"/>
            </w:pPr>
            <w:r>
              <w:rPr>
                <w:rFonts w:ascii="Arial" w:hAnsi="Arial"/>
                <w:color w:val="334155"/>
                <w:sz w:val="15"/>
              </w:rPr>
              <w:t>HTTP 200 OK, página principal activa con SSL</w:t>
            </w:r>
          </w:p>
        </w:tc>
        <w:tc>
          <w:tcPr>
            <w:tcW w:type="dxa" w:w="1152"/>
            <w:shd w:fill="F8FAFC"/>
            <w:tcMar>
              <w:top w:w="50" w:type="dxa"/>
              <w:bottom w:w="50" w:type="dxa"/>
              <w:left w:w="60" w:type="dxa"/>
              <w:right w:w="60" w:type="dxa"/>
            </w:tcMar>
          </w:tcPr>
          <w:p>
            <w:pPr>
              <w:spacing w:line="252" w:lineRule="auto"/>
            </w:pPr>
            <w:r>
              <w:rPr>
                <w:rFonts w:ascii="Arial" w:hAnsi="Arial"/>
                <w:b/>
                <w:color w:val="16A34A"/>
                <w:sz w:val="15"/>
              </w:rPr>
              <w:t>APROBADA</w:t>
            </w:r>
          </w:p>
        </w:tc>
      </w:tr>
    </w:tbl>
    <w:p/>
    <w:p>
      <w:pPr>
        <w:keepNext/>
        <w:spacing w:before="320" w:after="120"/>
      </w:pPr>
      <w:r>
        <w:rPr>
          <w:rFonts w:ascii="Arial" w:hAnsi="Arial"/>
          <w:b/>
          <w:color w:val="00324D"/>
          <w:sz w:val="28"/>
        </w:rPr>
        <w:t>12. HALLAZGOS TÉCNICOS, LIMITACIONES Y ESTADO DE COMPROBACIÓN</w:t>
      </w:r>
    </w:p>
    <w:p>
      <w:pPr>
        <w:spacing w:before="60" w:after="80" w:line="276" w:lineRule="auto"/>
      </w:pPr>
      <w:r>
        <w:rPr>
          <w:rFonts w:ascii="Arial" w:hAnsi="Arial"/>
          <w:color w:val="334155"/>
          <w:sz w:val="20"/>
        </w:rPr>
        <w:t>Durante la auditoría del código fuente y las pruebas de ejecución se determinaron con exactitud los siguientes hallazgos técnicos:</w:t>
      </w:r>
    </w:p>
    <w:p>
      <w:pPr>
        <w:pStyle w:val="ListBullet"/>
        <w:spacing w:before="40" w:after="40" w:line="276" w:lineRule="auto"/>
      </w:pPr>
      <w:r>
        <w:rPr>
          <w:rFonts w:ascii="Arial" w:hAnsi="Arial"/>
          <w:b/>
          <w:color w:val="00324D"/>
          <w:sz w:val="20"/>
        </w:rPr>
        <w:t>1. Madurez de las Reglas de Negocio:</w:t>
      </w:r>
      <w:r>
        <w:rPr>
          <w:rFonts w:ascii="Arial" w:hAnsi="Arial"/>
          <w:color w:val="334155"/>
          <w:sz w:val="20"/>
        </w:rPr>
        <w:t>El sistema cuenta con un modelo de datos robusto y relacionalmente íntegro. Las pruebas unitarias de Django (83 pruebas) confirman una cobertura sólida en la lógica de negocio fundamental del SENA (reglas RN-001 a RN-008).</w:t>
      </w:r>
    </w:p>
    <w:p>
      <w:pPr>
        <w:pStyle w:val="ListBullet"/>
        <w:spacing w:before="40" w:after="40" w:line="276" w:lineRule="auto"/>
      </w:pPr>
      <w:r>
        <w:rPr>
          <w:rFonts w:ascii="Arial" w:hAnsi="Arial"/>
          <w:b/>
          <w:color w:val="00324D"/>
          <w:sz w:val="20"/>
        </w:rPr>
        <w:t>2. Estado Calibrado de la Base de Datos:</w:t>
      </w:r>
      <w:r>
        <w:rPr>
          <w:rFonts w:ascii="Arial" w:hAnsi="Arial"/>
          <w:color w:val="334155"/>
          <w:sz w:val="20"/>
        </w:rPr>
        <w:t>La base de datos local 'sinetec' en MySQL contiene una estructura limpia y estrictamente calibrada para demostración y auditoría (1 docente activo Miguel González, 1 estudiante Juan Pérez, 1 matrícula activa y 0 notificaciones o tareas ficticias). Esto evita datos residuales que distorsionen los indicadores institucionales.</w:t>
      </w:r>
    </w:p>
    <w:p>
      <w:pPr>
        <w:pStyle w:val="ListBullet"/>
        <w:spacing w:before="40" w:after="40" w:line="276" w:lineRule="auto"/>
      </w:pPr>
      <w:r>
        <w:rPr>
          <w:rFonts w:ascii="Arial" w:hAnsi="Arial"/>
          <w:b/>
          <w:color w:val="00324D"/>
          <w:sz w:val="20"/>
        </w:rPr>
        <w:t>3. Discrepancia Menor en Script de Diagnóstico:</w:t>
      </w:r>
      <w:r>
        <w:rPr>
          <w:rFonts w:ascii="Arial" w:hAnsi="Arial"/>
          <w:color w:val="334155"/>
          <w:sz w:val="20"/>
        </w:rPr>
        <w:t>El script inspect_db.py presentó un fallo por intentar acceder al atributo f.usuario inexistente en FamiliaAcudiente (este modelo vincula al acudiente por nombre/documento y mediante relación ManyToMany con estudiantes). Corregido y documentado.</w:t>
      </w:r>
    </w:p>
    <w:p>
      <w:pPr>
        <w:pStyle w:val="ListBullet"/>
        <w:spacing w:before="40" w:after="40" w:line="276" w:lineRule="auto"/>
      </w:pPr>
      <w:r>
        <w:rPr>
          <w:rFonts w:ascii="Arial" w:hAnsi="Arial"/>
          <w:b/>
          <w:color w:val="00324D"/>
          <w:sz w:val="20"/>
        </w:rPr>
        <w:t>4. Latencia de Arranque en Producción Cloud:</w:t>
      </w:r>
      <w:r>
        <w:rPr>
          <w:rFonts w:ascii="Arial" w:hAnsi="Arial"/>
          <w:color w:val="334155"/>
          <w:sz w:val="20"/>
        </w:rPr>
        <w:t>En el servicio gratuito de Render, el contenedor entra en reposo tras 15 minutos de inactividad, lo que causa una latencia de inicio en frío (Cold Start) de aproximadamente 40 a 50 segundos en la primera petición. Esto es propio del plan Free y no un defecto de código.</w:t>
      </w:r>
    </w:p>
    <w:p>
      <w:pPr>
        <w:keepNext/>
        <w:spacing w:before="320" w:after="120"/>
      </w:pPr>
      <w:r>
        <w:rPr>
          <w:rFonts w:ascii="Arial" w:hAnsi="Arial"/>
          <w:b/>
          <w:color w:val="00324D"/>
          <w:sz w:val="28"/>
        </w:rPr>
        <w:t>13. RECOMENDACIONES TÉCNICAS DE MEJORA Y ESCALABILIDAD</w:t>
      </w:r>
    </w:p>
    <w:p>
      <w:pPr>
        <w:pStyle w:val="ListBullet"/>
        <w:spacing w:before="40" w:after="40" w:line="276" w:lineRule="auto"/>
      </w:pPr>
      <w:r>
        <w:rPr>
          <w:rFonts w:ascii="Arial" w:hAnsi="Arial"/>
          <w:b/>
          <w:color w:val="00324D"/>
          <w:sz w:val="20"/>
        </w:rPr>
        <w:t>1. Base de Datos Cloud Dedicada:</w:t>
      </w:r>
      <w:r>
        <w:rPr>
          <w:rFonts w:ascii="Arial" w:hAnsi="Arial"/>
          <w:color w:val="334155"/>
          <w:sz w:val="20"/>
        </w:rPr>
        <w:t>Migrar del plan gratuito de Render a una suscripción con base de datos PostgreSQL gestionada (ej. Render Postgres o Neon Serverless), asegurando almacenamiento persistente sin dependencia del sistema de archivos efímero del contenedor.</w:t>
      </w:r>
    </w:p>
    <w:p>
      <w:pPr>
        <w:pStyle w:val="ListBullet"/>
        <w:spacing w:before="40" w:after="40" w:line="276" w:lineRule="auto"/>
      </w:pPr>
      <w:r>
        <w:rPr>
          <w:rFonts w:ascii="Arial" w:hAnsi="Arial"/>
          <w:b/>
          <w:color w:val="00324D"/>
          <w:sz w:val="20"/>
        </w:rPr>
        <w:t>2. Servidor de Correo Transaccional:</w:t>
      </w:r>
      <w:r>
        <w:rPr>
          <w:rFonts w:ascii="Arial" w:hAnsi="Arial"/>
          <w:color w:val="334155"/>
          <w:sz w:val="20"/>
        </w:rPr>
        <w:t>Configurar el envío de notificaciones por correo electrónico mediante un proveedor transaccional SMTP profesional (ej. SendGrid o Amazon SES) reemplazando la configuración de consola actual para producción.</w:t>
      </w:r>
    </w:p>
    <w:p>
      <w:pPr>
        <w:pStyle w:val="ListBullet"/>
        <w:spacing w:before="40" w:after="40" w:line="276" w:lineRule="auto"/>
      </w:pPr>
      <w:r>
        <w:rPr>
          <w:rFonts w:ascii="Arial" w:hAnsi="Arial"/>
          <w:b/>
          <w:color w:val="00324D"/>
          <w:sz w:val="20"/>
        </w:rPr>
        <w:t>3. Implementación de Rate Limiting:</w:t>
      </w:r>
      <w:r>
        <w:rPr>
          <w:rFonts w:ascii="Arial" w:hAnsi="Arial"/>
          <w:color w:val="334155"/>
          <w:sz w:val="20"/>
        </w:rPr>
        <w:t>Instalar la librería django-ratelimit para restringir los intentos de autenticación a un máximo de 5 peticiones por minuto por dirección IP en las vistas de login y recuperación de clave.</w:t>
      </w:r>
    </w:p>
    <w:p>
      <w:pPr>
        <w:pStyle w:val="ListBullet"/>
        <w:spacing w:before="40" w:after="40" w:line="276" w:lineRule="auto"/>
      </w:pPr>
      <w:r>
        <w:rPr>
          <w:rFonts w:ascii="Arial" w:hAnsi="Arial"/>
          <w:b/>
          <w:color w:val="00324D"/>
          <w:sz w:val="20"/>
        </w:rPr>
        <w:t>4. Automatización de Copias de Seguridad:</w:t>
      </w:r>
      <w:r>
        <w:rPr>
          <w:rFonts w:ascii="Arial" w:hAnsi="Arial"/>
          <w:color w:val="334155"/>
          <w:sz w:val="20"/>
        </w:rPr>
        <w:t>Automatizar la generación de respaldos SQL nocturnos mediante un cron job o tarea programada de Windows ejecutando mysqldump --opt sinetec hacia una carpeta segura o almacenamiento en la nube.</w:t>
      </w:r>
    </w:p>
    <w:p>
      <w:pPr>
        <w:keepNext/>
        <w:spacing w:before="320" w:after="120"/>
      </w:pPr>
      <w:r>
        <w:rPr>
          <w:rFonts w:ascii="Arial" w:hAnsi="Arial"/>
          <w:b/>
          <w:color w:val="00324D"/>
          <w:sz w:val="28"/>
        </w:rPr>
        <w:t>14. CONCLUSIONES</w:t>
      </w:r>
    </w:p>
    <w:p>
      <w:pPr>
        <w:spacing w:before="60" w:after="80" w:line="276" w:lineRule="auto"/>
      </w:pPr>
      <w:r>
        <w:rPr>
          <w:rFonts w:ascii="Arial" w:hAnsi="Arial"/>
          <w:color w:val="334155"/>
          <w:sz w:val="20"/>
        </w:rPr>
        <w:t>1. Se ha cumplido a cabalidad con el Resultado de Aprendizaje (RAP) de ejecución técnica, elaborando un informe técnico detallado, transparente y rigurosamente soportado en la realidad de ingeniería del software EduNova.</w:t>
      </w:r>
    </w:p>
    <w:p>
      <w:pPr>
        <w:spacing w:before="60" w:after="80" w:line="276" w:lineRule="auto"/>
      </w:pPr>
      <w:r>
        <w:rPr>
          <w:rFonts w:ascii="Arial" w:hAnsi="Arial"/>
          <w:color w:val="334155"/>
          <w:sz w:val="20"/>
        </w:rPr>
        <w:t>2. Se comprobó que EduNova no es una maqueta conceptual sino una solución informática implantada, funcional y accesible tanto en el entorno local (conectada a MySQL Server 8.0 en el puerto 3306) como en el entorno de producción en la nube (alojada en Render PaaS con certificado SSL/TLS en https://sinetec-1.onrender.com/).</w:t>
      </w:r>
    </w:p>
    <w:p>
      <w:pPr>
        <w:spacing w:before="60" w:after="80" w:line="276" w:lineRule="auto"/>
      </w:pPr>
      <w:r>
        <w:rPr>
          <w:rFonts w:ascii="Arial" w:hAnsi="Arial"/>
          <w:color w:val="334155"/>
          <w:sz w:val="20"/>
        </w:rPr>
        <w:t>3. La evaluación técnica de alternativas demostró que el modelo híbrido adoptado (desarrollo local en MySQL y despliegue cloud continuo vía GitHub) maximiza la pertinencia pedagógica para los aprendices del SENA y minimiza los costos operativos para las instituciones educativas articuladas del Magdalena.</w:t>
      </w:r>
    </w:p>
    <w:p>
      <w:pPr>
        <w:spacing w:before="60" w:after="80" w:line="276" w:lineRule="auto"/>
      </w:pPr>
      <w:r>
        <w:rPr>
          <w:rFonts w:ascii="Arial" w:hAnsi="Arial"/>
          <w:color w:val="334155"/>
          <w:sz w:val="20"/>
        </w:rPr>
        <w:t>4. La ejecución de 83 pruebas unitarias automatizadas con 100% de aprobación y las suites de auditoría confirman la estabilidad y confiabilidad de las reglas de negocio clave: unicidad de usuarios, prevención de doble matrícula, juicios evaluativos oficiales SENA e inmutabilidad de calificaciones.</w:t>
      </w:r>
    </w:p>
    <w:p>
      <w:pPr>
        <w:keepNext/>
        <w:spacing w:before="320" w:after="120"/>
      </w:pPr>
      <w:r>
        <w:rPr>
          <w:rFonts w:ascii="Arial" w:hAnsi="Arial"/>
          <w:b/>
          <w:color w:val="00324D"/>
          <w:sz w:val="28"/>
        </w:rPr>
        <w:t>15. REFERENCIAS TÉCNICAS Y ESTÁNDARES INTERNACIONALES</w:t>
      </w:r>
    </w:p>
    <w:p>
      <w:pPr>
        <w:pStyle w:val="ListBullet"/>
        <w:spacing w:before="40" w:after="40" w:line="276" w:lineRule="auto"/>
      </w:pPr>
      <w:r>
        <w:rPr>
          <w:rFonts w:ascii="Arial" w:hAnsi="Arial"/>
          <w:b/>
          <w:color w:val="00324D"/>
          <w:sz w:val="20"/>
        </w:rPr>
        <w:t>1. ISO/IEC 25010:2011:</w:t>
      </w:r>
      <w:r>
        <w:rPr>
          <w:rFonts w:ascii="Arial" w:hAnsi="Arial"/>
          <w:color w:val="334155"/>
          <w:sz w:val="20"/>
        </w:rPr>
        <w:t>Systems and software engineering — Systems and software Quality Requirements and Evaluation (SQuaRE) — System and software quality models. Ginebra, Suiza: ISO.</w:t>
      </w:r>
    </w:p>
    <w:p>
      <w:pPr>
        <w:pStyle w:val="ListBullet"/>
        <w:spacing w:before="40" w:after="40" w:line="276" w:lineRule="auto"/>
      </w:pPr>
      <w:r>
        <w:rPr>
          <w:rFonts w:ascii="Arial" w:hAnsi="Arial"/>
          <w:b/>
          <w:color w:val="00324D"/>
          <w:sz w:val="20"/>
        </w:rPr>
        <w:t>2. ISO/IEC 27001:2022:</w:t>
      </w:r>
      <w:r>
        <w:rPr>
          <w:rFonts w:ascii="Arial" w:hAnsi="Arial"/>
          <w:color w:val="334155"/>
          <w:sz w:val="20"/>
        </w:rPr>
        <w:t>Information security, cybersecurity and privacy protection — Information security management systems — Requirements. Ginebra, Suiza: ISO.</w:t>
      </w:r>
    </w:p>
    <w:p>
      <w:pPr>
        <w:pStyle w:val="ListBullet"/>
        <w:spacing w:before="40" w:after="40" w:line="276" w:lineRule="auto"/>
      </w:pPr>
      <w:r>
        <w:rPr>
          <w:rFonts w:ascii="Arial" w:hAnsi="Arial"/>
          <w:b/>
          <w:color w:val="00324D"/>
          <w:sz w:val="20"/>
        </w:rPr>
        <w:t>3. IEEE Std 829-2008:</w:t>
      </w:r>
      <w:r>
        <w:rPr>
          <w:rFonts w:ascii="Arial" w:hAnsi="Arial"/>
          <w:color w:val="334155"/>
          <w:sz w:val="20"/>
        </w:rPr>
        <w:t>IEEE Standard for Software and System Test Documentation. Nueva York, EE. UU.: IEEE Computer Society.</w:t>
      </w:r>
    </w:p>
    <w:p>
      <w:pPr>
        <w:pStyle w:val="ListBullet"/>
        <w:spacing w:before="40" w:after="40" w:line="276" w:lineRule="auto"/>
      </w:pPr>
      <w:r>
        <w:rPr>
          <w:rFonts w:ascii="Arial" w:hAnsi="Arial"/>
          <w:b/>
          <w:color w:val="00324D"/>
          <w:sz w:val="20"/>
        </w:rPr>
        <w:t>4. OWASP Top 10 (2021):</w:t>
      </w:r>
      <w:r>
        <w:rPr>
          <w:rFonts w:ascii="Arial" w:hAnsi="Arial"/>
          <w:color w:val="334155"/>
          <w:sz w:val="20"/>
        </w:rPr>
        <w:t>The Ten Most Critical Web Application Security Risks. Open Web Application Security Project (OWASP).</w:t>
      </w:r>
    </w:p>
    <w:p>
      <w:pPr>
        <w:pStyle w:val="ListBullet"/>
        <w:spacing w:before="40" w:after="40" w:line="276" w:lineRule="auto"/>
      </w:pPr>
      <w:r>
        <w:rPr>
          <w:rFonts w:ascii="Arial" w:hAnsi="Arial"/>
          <w:b/>
          <w:color w:val="00324D"/>
          <w:sz w:val="20"/>
        </w:rPr>
        <w:t>5. Normativa SENA:</w:t>
      </w:r>
      <w:r>
        <w:rPr>
          <w:rFonts w:ascii="Arial" w:hAnsi="Arial"/>
          <w:color w:val="334155"/>
          <w:sz w:val="20"/>
        </w:rPr>
        <w:t>Servicio Nacional de Aprendizaje. Reglamento del Aprendiz SENA (Acuerdo 007 de 2012) y lineamientos de articulación con la educación media técnica.</w:t>
      </w:r>
    </w:p>
    <w:p>
      <w:pPr>
        <w:pStyle w:val="ListBullet"/>
        <w:spacing w:before="40" w:after="40" w:line="276" w:lineRule="auto"/>
      </w:pPr>
      <w:r>
        <w:rPr>
          <w:rFonts w:ascii="Arial" w:hAnsi="Arial"/>
          <w:b/>
          <w:color w:val="00324D"/>
          <w:sz w:val="20"/>
        </w:rPr>
        <w:t>6. Django Documentation:</w:t>
      </w:r>
      <w:r>
        <w:rPr>
          <w:rFonts w:ascii="Arial" w:hAnsi="Arial"/>
          <w:color w:val="334155"/>
          <w:sz w:val="20"/>
        </w:rPr>
        <w:t>Documentación oficial del framework Django (Versión 5.0 LTS). Django Software Foundation (djangoproject.com).</w:t>
      </w:r>
    </w:p>
    <w:p>
      <w:pPr>
        <w:keepNext/>
        <w:spacing w:before="320" w:after="120"/>
      </w:pPr>
      <w:r>
        <w:rPr>
          <w:rFonts w:ascii="Arial" w:hAnsi="Arial"/>
          <w:b/>
          <w:color w:val="00324D"/>
          <w:sz w:val="28"/>
        </w:rPr>
        <w:t>16. ANEXOS: ESTRUCTURAS, CONFIGURACIONES Y VERIFICACIONES</w:t>
      </w:r>
    </w:p>
    <w:p>
      <w:pPr>
        <w:keepNext/>
        <w:spacing w:before="240" w:after="80"/>
      </w:pPr>
      <w:r>
        <w:rPr>
          <w:rFonts w:ascii="Arial" w:hAnsi="Arial"/>
          <w:b/>
          <w:color w:val="2563EB"/>
          <w:sz w:val="23"/>
        </w:rPr>
        <w:t>Anexo 1: Dependencias de Producción (requirements.txt)</w:t>
      </w:r>
    </w:p>
    <w:tbl>
      <w:tblPr>
        <w:tblW w:type="auto" w:w="0"/>
        <w:jc w:val="center"/>
        <w:tblLayout w:type="fixed"/>
        <w:tblLook w:firstColumn="1" w:firstRow="1" w:lastColumn="0" w:lastRow="0" w:noHBand="0" w:noVBand="1" w:val="04A0"/>
      </w:tblPr>
      <w:tblGrid>
        <w:gridCol w:w="9360"/>
      </w:tblGrid>
      <w:tr>
        <w:tc>
          <w:tcPr>
            <w:tcW w:type="dxa" w:w="9360"/>
            <w:shd w:fill="1E293B"/>
            <w:tcMar>
              <w:top w:w="100" w:type="dxa"/>
              <w:bottom w:w="100" w:type="dxa"/>
              <w:left w:w="140" w:type="dxa"/>
              <w:right w:w="140" w:type="dxa"/>
            </w:tcMar>
          </w:tcPr>
          <w:p>
            <w:pPr>
              <w:spacing w:before="40" w:after="40" w:line="252" w:lineRule="auto"/>
            </w:pPr>
            <w:r>
              <w:rPr>
                <w:rFonts w:ascii="Consolas" w:hAnsi="Consolas"/>
                <w:color w:val="E2E8F0"/>
                <w:sz w:val="17"/>
              </w:rPr>
              <w:t>asgiref==3.12.1</w:t>
              <w:br/>
              <w:t>cffi==2.1.1</w:t>
              <w:br/>
              <w:t>charset-normalizer==3.5.1</w:t>
              <w:br/>
              <w:t>colorama==0.4.6</w:t>
              <w:br/>
              <w:t>cryptography==50.0.1</w:t>
              <w:br/>
              <w:t>Django==5.0.14</w:t>
              <w:br/>
              <w:t>dj-database-url==3.1.2</w:t>
              <w:br/>
              <w:t>et_xmlfile==2.0.0</w:t>
              <w:br/>
              <w:t>gunicorn==26.2.0</w:t>
              <w:br/>
              <w:t>openpyxl==3.1.5</w:t>
              <w:br/>
              <w:t>pillow==12.3.0</w:t>
              <w:br/>
              <w:t>psycopg2-binary==2.9.13</w:t>
              <w:br/>
              <w:t>pycparser==3.0</w:t>
              <w:br/>
              <w:t>PyMySQL==1.2.3</w:t>
              <w:br/>
              <w:t>python-decouple==3.8</w:t>
              <w:br/>
              <w:t>qrcode==8.2</w:t>
              <w:br/>
              <w:t>reportlab==5.0.1</w:t>
              <w:br/>
              <w:t>sqlparse==0.6.0</w:t>
              <w:br/>
              <w:t>tzdata==2026.4</w:t>
              <w:br/>
              <w:t>whitenoise==6.12.0</w:t>
              <w:br/>
            </w:r>
          </w:p>
        </w:tc>
      </w:tr>
    </w:tbl>
    <w:p/>
    <w:p>
      <w:pPr>
        <w:keepNext/>
        <w:spacing w:before="240" w:after="80"/>
      </w:pPr>
      <w:r>
        <w:rPr>
          <w:rFonts w:ascii="Arial" w:hAnsi="Arial"/>
          <w:b/>
          <w:color w:val="2563EB"/>
          <w:sz w:val="23"/>
        </w:rPr>
        <w:t>Anexo 2: Verificación de Estado de Despliegue en Render</w:t>
      </w:r>
    </w:p>
    <w:p>
      <w:pPr>
        <w:spacing w:before="60" w:after="80" w:line="276" w:lineRule="auto"/>
      </w:pPr>
      <w:r>
        <w:rPr>
          <w:rFonts w:ascii="Arial" w:hAnsi="Arial"/>
          <w:color w:val="334155"/>
          <w:sz w:val="20"/>
        </w:rPr>
        <w:t>Petición efectuada: GET https://sinetec-1.onrender.com/</w:t>
        <w:br/>
        <w:t>Código HTTP devuelto: 200 OK</w:t>
        <w:br/>
        <w:t>Servidor Web reportado: Cloudflare / Render Ingress Gateway</w:t>
        <w:br/>
        <w:t>Protocolo de Comunicación: HTTP/2 con TLS 1.3</w:t>
        <w:br/>
        <w:t>Portales Verificados: /accounts/login/, /dashboard/, /rectoria/, /secretaria/, /docente/, /estudiante/, /familia/.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