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FreshCart Support SLA Matrix</w:t>
      </w:r>
    </w:p>
    <w:p>
      <w:r>
        <w:t>Document SLA-SUP-2024-02 · Effective 01 April 2024 · Owner: Support Operations</w:t>
      </w:r>
    </w:p>
    <w:p>
      <w:r>
        <w:t>The following turnaround times apply to customer contacts received through the in-app chat channel. TAT is measured from first customer message to first substantive agent response, excluding automated acknowledgements.</w:t>
      </w:r>
    </w:p>
    <w:p>
      <w:pPr>
        <w:pStyle w:val="Heading2"/>
      </w:pPr>
      <w:r>
        <w:t>Turnaround targets by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First response TAT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Resolution TAT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Escalation path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Order value over INR 5,000, or food safety complaint</w:t>
            </w:r>
          </w:p>
        </w:tc>
        <w:tc>
          <w:tcPr>
            <w:tcW w:type="dxa" w:w="1728"/>
          </w:tcPr>
          <w:p>
            <w:r>
              <w:t>15 minutes</w:t>
            </w:r>
          </w:p>
        </w:tc>
        <w:tc>
          <w:tcPr>
            <w:tcW w:type="dxa" w:w="1728"/>
          </w:tcPr>
          <w:p>
            <w:r>
              <w:t>2 hours</w:t>
            </w:r>
          </w:p>
        </w:tc>
        <w:tc>
          <w:tcPr>
            <w:tcW w:type="dxa" w:w="1728"/>
          </w:tcPr>
          <w:p>
            <w:r>
              <w:t>Supervisor immediately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Non-delivery, or spillage with photographic evidence</w:t>
            </w:r>
          </w:p>
        </w:tc>
        <w:tc>
          <w:tcPr>
            <w:tcW w:type="dxa" w:w="1728"/>
          </w:tcPr>
          <w:p>
            <w:r>
              <w:t>30 minutes</w:t>
            </w:r>
          </w:p>
        </w:tc>
        <w:tc>
          <w:tcPr>
            <w:tcW w:type="dxa" w:w="1728"/>
          </w:tcPr>
          <w:p>
            <w:r>
              <w:t>4 hours</w:t>
            </w:r>
          </w:p>
        </w:tc>
        <w:tc>
          <w:tcPr>
            <w:tcW w:type="dxa" w:w="1728"/>
          </w:tcPr>
          <w:p>
            <w:r>
              <w:t>Supervisor at 3 hours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Partial order issue, or incorrect item</w:t>
            </w:r>
          </w:p>
        </w:tc>
        <w:tc>
          <w:tcPr>
            <w:tcW w:type="dxa" w:w="1728"/>
          </w:tcPr>
          <w:p>
            <w:r>
              <w:t>2 hours</w:t>
            </w:r>
          </w:p>
        </w:tc>
        <w:tc>
          <w:tcPr>
            <w:tcW w:type="dxa" w:w="1728"/>
          </w:tcPr>
          <w:p>
            <w:r>
              <w:t>24 hours</w:t>
            </w:r>
          </w:p>
        </w:tc>
        <w:tc>
          <w:tcPr>
            <w:tcW w:type="dxa" w:w="1728"/>
          </w:tcPr>
          <w:p>
            <w:r>
              <w:t>Supervisor at 18 hours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General query, account or wallet question</w:t>
            </w:r>
          </w:p>
        </w:tc>
        <w:tc>
          <w:tcPr>
            <w:tcW w:type="dxa" w:w="1728"/>
          </w:tcPr>
          <w:p>
            <w:r>
              <w:t>4 hours</w:t>
            </w:r>
          </w:p>
        </w:tc>
        <w:tc>
          <w:tcPr>
            <w:tcW w:type="dxa" w:w="1728"/>
          </w:tcPr>
          <w:p>
            <w:r>
              <w:t>48 hours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>
      <w:pPr>
        <w:pStyle w:val="Heading2"/>
      </w:pPr>
      <w:r>
        <w:t>Notes</w:t>
      </w:r>
    </w:p>
    <w:p>
      <w:r>
        <w:t>TAT targets are suspended during declared platform incidents.</w:t>
      </w:r>
    </w:p>
    <w:p>
      <w:r>
        <w:t>Claim frequency checks are performed before a P2 case is accepted; see the Customer Refund Policy for the applicable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