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FDBF" w14:textId="77777777" w:rsidR="009C51A8" w:rsidRDefault="00000000">
      <w:pPr>
        <w:spacing w:after="40"/>
      </w:pPr>
      <w:proofErr w:type="spellStart"/>
      <w:proofErr w:type="gramStart"/>
      <w:r>
        <w:rPr>
          <w:b/>
          <w:bCs/>
          <w:color w:val="A67C3A"/>
          <w:sz w:val="40"/>
          <w:szCs w:val="40"/>
        </w:rPr>
        <w:t>ميزان</w:t>
      </w:r>
      <w:proofErr w:type="spellEnd"/>
      <w:r>
        <w:rPr>
          <w:b/>
          <w:bCs/>
          <w:color w:val="A67C3A"/>
          <w:sz w:val="40"/>
          <w:szCs w:val="40"/>
        </w:rPr>
        <w:t xml:space="preserve">  MIZAN</w:t>
      </w:r>
      <w:proofErr w:type="gramEnd"/>
    </w:p>
    <w:p w14:paraId="283765D3" w14:textId="77777777" w:rsidR="009C51A8" w:rsidRDefault="00000000">
      <w:pPr>
        <w:spacing w:after="200"/>
      </w:pPr>
      <w:r>
        <w:rPr>
          <w:color w:val="6B6055"/>
          <w:sz w:val="24"/>
          <w:szCs w:val="24"/>
        </w:rPr>
        <w:t>Use Case Diagram — Explanation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C51A8" w14:paraId="301C808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04A1688" w14:textId="77777777" w:rsidR="009C51A8" w:rsidRDefault="00000000">
            <w:r>
              <w:rPr>
                <w:b/>
                <w:bCs/>
                <w:color w:val="A89E92"/>
                <w:sz w:val="19"/>
                <w:szCs w:val="19"/>
              </w:rPr>
              <w:t>Project</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4F592A" w14:textId="77777777" w:rsidR="009C51A8" w:rsidRDefault="00000000">
            <w:r>
              <w:rPr>
                <w:b/>
                <w:bCs/>
                <w:color w:val="A67C3A"/>
                <w:sz w:val="19"/>
                <w:szCs w:val="19"/>
              </w:rPr>
              <w:t>Mizan — Shared Household Expense Tracker</w:t>
            </w:r>
          </w:p>
        </w:tc>
      </w:tr>
      <w:tr w:rsidR="009C51A8" w14:paraId="705D178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7C17A2" w14:textId="77777777" w:rsidR="009C51A8" w:rsidRDefault="00000000">
            <w:r>
              <w:rPr>
                <w:b/>
                <w:bCs/>
                <w:color w:val="A89E92"/>
                <w:sz w:val="19"/>
                <w:szCs w:val="19"/>
              </w:rPr>
              <w:t>Document</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A3721A" w14:textId="77777777" w:rsidR="009C51A8" w:rsidRDefault="00000000">
            <w:r>
              <w:rPr>
                <w:color w:val="1A1612"/>
                <w:sz w:val="19"/>
                <w:szCs w:val="19"/>
              </w:rPr>
              <w:t>Use Case Diagram — Explanation</w:t>
            </w:r>
          </w:p>
        </w:tc>
      </w:tr>
      <w:tr w:rsidR="009C51A8" w14:paraId="35C7B1D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E5C65D8" w14:textId="77777777" w:rsidR="009C51A8" w:rsidRDefault="00000000">
            <w:r>
              <w:rPr>
                <w:b/>
                <w:bCs/>
                <w:color w:val="A89E92"/>
                <w:sz w:val="19"/>
                <w:szCs w:val="19"/>
              </w:rPr>
              <w:t>Version</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BBD42D" w14:textId="77777777" w:rsidR="009C51A8" w:rsidRDefault="00000000">
            <w:r>
              <w:rPr>
                <w:color w:val="1A1612"/>
                <w:sz w:val="19"/>
                <w:szCs w:val="19"/>
              </w:rPr>
              <w:t>1.0</w:t>
            </w:r>
          </w:p>
        </w:tc>
      </w:tr>
      <w:tr w:rsidR="009C51A8" w14:paraId="09CF532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8FE69BC" w14:textId="77777777" w:rsidR="009C51A8" w:rsidRDefault="00000000">
            <w:r>
              <w:rPr>
                <w:b/>
                <w:bCs/>
                <w:color w:val="A89E92"/>
                <w:sz w:val="19"/>
                <w:szCs w:val="19"/>
              </w:rPr>
              <w:t>Author</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B28F6" w14:textId="23CEE1CA" w:rsidR="009C51A8" w:rsidRDefault="0079284A">
            <w:r>
              <w:t xml:space="preserve">Mohammed </w:t>
            </w:r>
            <w:proofErr w:type="spellStart"/>
            <w:r>
              <w:t>Bteibt</w:t>
            </w:r>
            <w:proofErr w:type="spellEnd"/>
          </w:p>
        </w:tc>
      </w:tr>
      <w:tr w:rsidR="009C51A8" w14:paraId="729535A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1B54386" w14:textId="77777777" w:rsidR="009C51A8" w:rsidRDefault="00000000">
            <w:r>
              <w:rPr>
                <w:b/>
                <w:bCs/>
                <w:color w:val="A89E92"/>
                <w:sz w:val="19"/>
                <w:szCs w:val="19"/>
              </w:rPr>
              <w:t>Date</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EC5567" w14:textId="77777777" w:rsidR="009C51A8" w:rsidRDefault="00000000">
            <w:r>
              <w:rPr>
                <w:color w:val="1A1612"/>
                <w:sz w:val="19"/>
                <w:szCs w:val="19"/>
              </w:rPr>
              <w:t>March 2026</w:t>
            </w:r>
          </w:p>
        </w:tc>
      </w:tr>
    </w:tbl>
    <w:p w14:paraId="6137E3FD" w14:textId="77777777" w:rsidR="009C51A8" w:rsidRDefault="009C51A8">
      <w:pPr>
        <w:pBdr>
          <w:bottom w:val="single" w:sz="4" w:space="1" w:color="E2DDD6"/>
        </w:pBdr>
        <w:spacing w:before="180" w:after="180"/>
      </w:pPr>
    </w:p>
    <w:p w14:paraId="38325413" w14:textId="77777777" w:rsidR="009C51A8" w:rsidRDefault="00000000">
      <w:pPr>
        <w:pStyle w:val="Heading1"/>
      </w:pPr>
      <w:r>
        <w:t>1. Purpose of This Document</w:t>
      </w:r>
    </w:p>
    <w:p w14:paraId="7DD03DB5" w14:textId="77777777" w:rsidR="009C51A8" w:rsidRDefault="00000000">
      <w:pPr>
        <w:spacing w:before="80" w:after="80"/>
      </w:pPr>
      <w:r>
        <w:rPr>
          <w:color w:val="1A1612"/>
        </w:rPr>
        <w:t xml:space="preserve">This document explains the use case diagram for Mizan. It describes what actions users can perform in the system, which parts of the system are triggered as a result, and how external systems like </w:t>
      </w:r>
      <w:proofErr w:type="spellStart"/>
      <w:r>
        <w:rPr>
          <w:color w:val="1A1612"/>
        </w:rPr>
        <w:t>Supabase</w:t>
      </w:r>
      <w:proofErr w:type="spellEnd"/>
      <w:r>
        <w:rPr>
          <w:color w:val="1A1612"/>
        </w:rPr>
        <w:t xml:space="preserve"> and the user's bank app fit into the overall picture. Each use case in the diagram is described in full, including who initiates it, what happens, and how it connects to other use cases through include relationships.</w:t>
      </w:r>
    </w:p>
    <w:p w14:paraId="38DC3CAB" w14:textId="77777777" w:rsidR="009C51A8" w:rsidRDefault="009C51A8">
      <w:pPr>
        <w:pBdr>
          <w:bottom w:val="single" w:sz="4" w:space="1" w:color="E2DDD6"/>
        </w:pBdr>
        <w:spacing w:before="180" w:after="180"/>
      </w:pPr>
    </w:p>
    <w:p w14:paraId="741045F5" w14:textId="77777777" w:rsidR="009C51A8" w:rsidRDefault="00000000">
      <w:pPr>
        <w:pStyle w:val="Heading1"/>
      </w:pPr>
      <w:r>
        <w:t>2. Use Case Diagram</w:t>
      </w:r>
    </w:p>
    <w:p w14:paraId="2F58C00A" w14:textId="77777777" w:rsidR="009C51A8" w:rsidRDefault="009C51A8">
      <w:pPr>
        <w:spacing w:before="80"/>
      </w:pPr>
    </w:p>
    <w:p w14:paraId="7ACC1905" w14:textId="77777777" w:rsidR="009C51A8" w:rsidRDefault="00000000">
      <w:pPr>
        <w:jc w:val="center"/>
      </w:pPr>
      <w:r>
        <w:rPr>
          <w:noProof/>
        </w:rPr>
        <w:drawing>
          <wp:inline distT="0" distB="0" distL="0" distR="0" wp14:anchorId="7AE0798C" wp14:editId="10A3E56D">
            <wp:extent cx="5524500" cy="4095750"/>
            <wp:effectExtent l="0" t="0" r="0" b="0"/>
            <wp:docPr id="1" name="UseCaseDiagram" descr="Use case diagram showing user interactions" title="Miza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095750"/>
                    </a:xfrm>
                    <a:prstGeom prst="rect">
                      <a:avLst/>
                    </a:prstGeom>
                  </pic:spPr>
                </pic:pic>
              </a:graphicData>
            </a:graphic>
          </wp:inline>
        </w:drawing>
      </w:r>
    </w:p>
    <w:p w14:paraId="470161C0" w14:textId="77777777" w:rsidR="009C51A8" w:rsidRDefault="009C51A8">
      <w:pPr>
        <w:pBdr>
          <w:bottom w:val="single" w:sz="4" w:space="1" w:color="E2DDD6"/>
        </w:pBdr>
        <w:spacing w:before="180" w:after="180"/>
      </w:pPr>
    </w:p>
    <w:p w14:paraId="1B0FD446" w14:textId="77777777" w:rsidR="009C51A8" w:rsidRDefault="00000000">
      <w:pPr>
        <w:pStyle w:val="Heading1"/>
      </w:pPr>
      <w:r>
        <w:t>3. Actors</w:t>
      </w:r>
    </w:p>
    <w:p w14:paraId="494F4CE2" w14:textId="77777777" w:rsidR="009C51A8" w:rsidRDefault="00000000">
      <w:pPr>
        <w:spacing w:before="80" w:after="80"/>
      </w:pPr>
      <w:r>
        <w:rPr>
          <w:color w:val="1A1612"/>
        </w:rPr>
        <w:t>The diagram includes one primary actor and two external systems.</w:t>
      </w:r>
    </w:p>
    <w:p w14:paraId="02455093" w14:textId="77777777" w:rsidR="009C51A8" w:rsidRDefault="009C51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C51A8" w14:paraId="47806A25"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1A1612"/>
            <w:tcMar>
              <w:top w:w="80" w:type="dxa"/>
              <w:left w:w="140" w:type="dxa"/>
              <w:bottom w:w="80" w:type="dxa"/>
              <w:right w:w="140" w:type="dxa"/>
            </w:tcMar>
          </w:tcPr>
          <w:p w14:paraId="3830BC0B" w14:textId="77777777" w:rsidR="009C51A8" w:rsidRDefault="00000000">
            <w:r>
              <w:rPr>
                <w:b/>
                <w:bCs/>
                <w:color w:val="FFFFFF"/>
                <w:sz w:val="19"/>
                <w:szCs w:val="19"/>
              </w:rPr>
              <w:t>Actor</w:t>
            </w:r>
          </w:p>
        </w:tc>
        <w:tc>
          <w:tcPr>
            <w:tcW w:w="1600" w:type="dxa"/>
            <w:tcBorders>
              <w:top w:val="single" w:sz="1" w:space="0" w:color="E2DDD6"/>
              <w:left w:val="single" w:sz="1" w:space="0" w:color="E2DDD6"/>
              <w:bottom w:val="single" w:sz="1" w:space="0" w:color="E2DDD6"/>
              <w:right w:val="single" w:sz="1" w:space="0" w:color="E2DDD6"/>
            </w:tcBorders>
            <w:shd w:val="clear" w:color="auto" w:fill="1A1612"/>
            <w:tcMar>
              <w:top w:w="80" w:type="dxa"/>
              <w:left w:w="140" w:type="dxa"/>
              <w:bottom w:w="80" w:type="dxa"/>
              <w:right w:w="140" w:type="dxa"/>
            </w:tcMar>
          </w:tcPr>
          <w:p w14:paraId="40AAC505" w14:textId="77777777" w:rsidR="009C51A8" w:rsidRDefault="00000000">
            <w:r>
              <w:rPr>
                <w:b/>
                <w:bCs/>
                <w:color w:val="FFFFFF"/>
                <w:sz w:val="19"/>
                <w:szCs w:val="19"/>
              </w:rPr>
              <w:t>Type</w:t>
            </w:r>
          </w:p>
        </w:tc>
        <w:tc>
          <w:tcPr>
            <w:tcW w:w="5560" w:type="dxa"/>
            <w:tcBorders>
              <w:top w:val="single" w:sz="1" w:space="0" w:color="E2DDD6"/>
              <w:left w:val="single" w:sz="1" w:space="0" w:color="E2DDD6"/>
              <w:bottom w:val="single" w:sz="1" w:space="0" w:color="E2DDD6"/>
              <w:right w:val="single" w:sz="1" w:space="0" w:color="E2DDD6"/>
            </w:tcBorders>
            <w:shd w:val="clear" w:color="auto" w:fill="1A1612"/>
            <w:tcMar>
              <w:top w:w="80" w:type="dxa"/>
              <w:left w:w="140" w:type="dxa"/>
              <w:bottom w:w="80" w:type="dxa"/>
              <w:right w:w="140" w:type="dxa"/>
            </w:tcMar>
          </w:tcPr>
          <w:p w14:paraId="7255252F" w14:textId="77777777" w:rsidR="009C51A8" w:rsidRDefault="00000000">
            <w:r>
              <w:rPr>
                <w:b/>
                <w:bCs/>
                <w:color w:val="FFFFFF"/>
                <w:sz w:val="19"/>
                <w:szCs w:val="19"/>
              </w:rPr>
              <w:t>Description</w:t>
            </w:r>
          </w:p>
        </w:tc>
      </w:tr>
      <w:tr w:rsidR="009C51A8" w14:paraId="45DB0E92"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tcPr>
          <w:p w14:paraId="2474E0D7" w14:textId="77777777" w:rsidR="009C51A8" w:rsidRDefault="00000000">
            <w:r>
              <w:rPr>
                <w:b/>
                <w:bCs/>
                <w:color w:val="A67C3A"/>
                <w:sz w:val="19"/>
                <w:szCs w:val="19"/>
              </w:rPr>
              <w:t>User (Roommate)</w:t>
            </w:r>
          </w:p>
        </w:tc>
        <w:tc>
          <w:tcPr>
            <w:tcW w:w="1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tcPr>
          <w:p w14:paraId="32E251F4" w14:textId="77777777" w:rsidR="009C51A8" w:rsidRDefault="00000000">
            <w:r>
              <w:rPr>
                <w:i/>
                <w:iCs/>
                <w:color w:val="6B6055"/>
                <w:sz w:val="18"/>
                <w:szCs w:val="18"/>
              </w:rPr>
              <w:t>Primary</w:t>
            </w:r>
          </w:p>
        </w:tc>
        <w:tc>
          <w:tcPr>
            <w:tcW w:w="5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tcPr>
          <w:p w14:paraId="2F6EB9CF" w14:textId="10BC871A" w:rsidR="009C51A8" w:rsidRDefault="00000000">
            <w:r>
              <w:rPr>
                <w:color w:val="1A1612"/>
                <w:sz w:val="18"/>
                <w:szCs w:val="18"/>
              </w:rPr>
              <w:t xml:space="preserve">Any authenticated household member. All users have the same </w:t>
            </w:r>
            <w:proofErr w:type="gramStart"/>
            <w:r>
              <w:rPr>
                <w:color w:val="1A1612"/>
                <w:sz w:val="18"/>
                <w:szCs w:val="18"/>
              </w:rPr>
              <w:t>permissions</w:t>
            </w:r>
            <w:r w:rsidR="0079284A">
              <w:rPr>
                <w:color w:val="1A1612"/>
                <w:sz w:val="18"/>
                <w:szCs w:val="18"/>
              </w:rPr>
              <w:t>,</w:t>
            </w:r>
            <w:proofErr w:type="gramEnd"/>
            <w:r>
              <w:rPr>
                <w:color w:val="1A1612"/>
                <w:sz w:val="18"/>
                <w:szCs w:val="18"/>
              </w:rPr>
              <w:t xml:space="preserve"> there is no admin or owner role in v1.</w:t>
            </w:r>
          </w:p>
        </w:tc>
      </w:tr>
      <w:tr w:rsidR="009C51A8" w14:paraId="5FA246E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tcPr>
          <w:p w14:paraId="7FCABEBE" w14:textId="77777777" w:rsidR="009C51A8" w:rsidRDefault="00000000">
            <w:proofErr w:type="spellStart"/>
            <w:r>
              <w:rPr>
                <w:b/>
                <w:bCs/>
                <w:color w:val="A67C3A"/>
                <w:sz w:val="19"/>
                <w:szCs w:val="19"/>
              </w:rPr>
              <w:t>Supabase</w:t>
            </w:r>
            <w:proofErr w:type="spellEnd"/>
            <w:r>
              <w:rPr>
                <w:b/>
                <w:bCs/>
                <w:color w:val="A67C3A"/>
                <w:sz w:val="19"/>
                <w:szCs w:val="19"/>
              </w:rPr>
              <w:t xml:space="preserve"> (Data &amp; Auth)</w:t>
            </w:r>
          </w:p>
        </w:tc>
        <w:tc>
          <w:tcPr>
            <w:tcW w:w="1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tcPr>
          <w:p w14:paraId="200478B6" w14:textId="77777777" w:rsidR="009C51A8" w:rsidRDefault="00000000">
            <w:r>
              <w:rPr>
                <w:i/>
                <w:iCs/>
                <w:color w:val="6B6055"/>
                <w:sz w:val="18"/>
                <w:szCs w:val="18"/>
              </w:rPr>
              <w:t>External System</w:t>
            </w:r>
          </w:p>
        </w:tc>
        <w:tc>
          <w:tcPr>
            <w:tcW w:w="55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tcPr>
          <w:p w14:paraId="669790FE" w14:textId="77777777" w:rsidR="009C51A8" w:rsidRDefault="00000000">
            <w:r>
              <w:rPr>
                <w:color w:val="1A1612"/>
                <w:sz w:val="18"/>
                <w:szCs w:val="18"/>
              </w:rPr>
              <w:t>Handles all database reads and writes, user authentication, and real-time balance broadcasting. Shown outside the system boundary in the diagram.</w:t>
            </w:r>
          </w:p>
        </w:tc>
      </w:tr>
      <w:tr w:rsidR="009C51A8" w14:paraId="70B74778"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tcPr>
          <w:p w14:paraId="6F87C617" w14:textId="77777777" w:rsidR="009C51A8" w:rsidRDefault="00000000">
            <w:r>
              <w:rPr>
                <w:b/>
                <w:bCs/>
                <w:color w:val="A67C3A"/>
                <w:sz w:val="19"/>
                <w:szCs w:val="19"/>
              </w:rPr>
              <w:t>Bank App (External Payment)</w:t>
            </w:r>
          </w:p>
        </w:tc>
        <w:tc>
          <w:tcPr>
            <w:tcW w:w="1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tcPr>
          <w:p w14:paraId="46C751F2" w14:textId="77777777" w:rsidR="009C51A8" w:rsidRDefault="00000000">
            <w:r>
              <w:rPr>
                <w:i/>
                <w:iCs/>
                <w:color w:val="6B6055"/>
                <w:sz w:val="18"/>
                <w:szCs w:val="18"/>
              </w:rPr>
              <w:t>External System</w:t>
            </w:r>
          </w:p>
        </w:tc>
        <w:tc>
          <w:tcPr>
            <w:tcW w:w="5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tcPr>
          <w:p w14:paraId="679F98D6" w14:textId="77777777" w:rsidR="009C51A8" w:rsidRDefault="00000000">
            <w:r>
              <w:rPr>
                <w:color w:val="1A1612"/>
                <w:sz w:val="18"/>
                <w:szCs w:val="18"/>
              </w:rPr>
              <w:t>The user's own banking application, used to complete the actual money transfer after copying the IBAN. Entirely outside Mizan — the app has no visibility into whether the transfer happened.</w:t>
            </w:r>
          </w:p>
        </w:tc>
      </w:tr>
    </w:tbl>
    <w:p w14:paraId="423DBEDB" w14:textId="77777777" w:rsidR="009C51A8" w:rsidRDefault="009C51A8">
      <w:pPr>
        <w:spacing w:before="80"/>
      </w:pPr>
    </w:p>
    <w:p w14:paraId="55CF9F90" w14:textId="77777777" w:rsidR="009C51A8" w:rsidRDefault="00000000">
      <w:pPr>
        <w:spacing w:before="80" w:after="80"/>
      </w:pPr>
      <w:r>
        <w:rPr>
          <w:color w:val="1A1612"/>
        </w:rPr>
        <w:t>All household members are treated as the same actor with equal permissions. There is no distinction between an admin, an owner, and a regular member in Mizan v1. Any user can add expenses, delete their own expenses, view balances, and settle debts.</w:t>
      </w:r>
    </w:p>
    <w:p w14:paraId="19294682" w14:textId="77777777" w:rsidR="009C51A8" w:rsidRDefault="009C51A8">
      <w:pPr>
        <w:pBdr>
          <w:bottom w:val="single" w:sz="4" w:space="1" w:color="E2DDD6"/>
        </w:pBdr>
        <w:spacing w:before="180" w:after="180"/>
      </w:pPr>
    </w:p>
    <w:p w14:paraId="5F82B1FB" w14:textId="77777777" w:rsidR="009C51A8" w:rsidRDefault="00000000">
      <w:pPr>
        <w:pStyle w:val="Heading1"/>
      </w:pPr>
      <w:r>
        <w:t>4. Use Cases</w:t>
      </w:r>
    </w:p>
    <w:p w14:paraId="33F2D256" w14:textId="77777777" w:rsidR="009C51A8" w:rsidRDefault="00000000">
      <w:pPr>
        <w:spacing w:before="80" w:after="80"/>
      </w:pPr>
      <w:r>
        <w:rPr>
          <w:color w:val="1A1612"/>
        </w:rPr>
        <w:t>The table below describes each use case in the diagram. Use cases marked with an «include» relationship automatically trigger a second use case as part of their execution.</w:t>
      </w:r>
    </w:p>
    <w:p w14:paraId="057BF327" w14:textId="77777777" w:rsidR="009C51A8" w:rsidRDefault="009C51A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9C51A8" w14:paraId="0372A190"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1A1612"/>
            <w:tcMar>
              <w:top w:w="80" w:type="dxa"/>
              <w:left w:w="140" w:type="dxa"/>
              <w:bottom w:w="80" w:type="dxa"/>
              <w:right w:w="140" w:type="dxa"/>
            </w:tcMar>
          </w:tcPr>
          <w:p w14:paraId="7F2BE4B3" w14:textId="77777777" w:rsidR="009C51A8" w:rsidRDefault="00000000">
            <w:r>
              <w:rPr>
                <w:b/>
                <w:bCs/>
                <w:color w:val="FFFFFF"/>
                <w:sz w:val="19"/>
                <w:szCs w:val="19"/>
              </w:rPr>
              <w:t>Use Case</w:t>
            </w:r>
          </w:p>
        </w:tc>
        <w:tc>
          <w:tcPr>
            <w:tcW w:w="1400" w:type="dxa"/>
            <w:tcBorders>
              <w:top w:val="single" w:sz="1" w:space="0" w:color="E2DDD6"/>
              <w:left w:val="single" w:sz="1" w:space="0" w:color="E2DDD6"/>
              <w:bottom w:val="single" w:sz="1" w:space="0" w:color="E2DDD6"/>
              <w:right w:val="single" w:sz="1" w:space="0" w:color="E2DDD6"/>
            </w:tcBorders>
            <w:shd w:val="clear" w:color="auto" w:fill="1A1612"/>
            <w:tcMar>
              <w:top w:w="80" w:type="dxa"/>
              <w:left w:w="140" w:type="dxa"/>
              <w:bottom w:w="80" w:type="dxa"/>
              <w:right w:w="140" w:type="dxa"/>
            </w:tcMar>
          </w:tcPr>
          <w:p w14:paraId="51F19672" w14:textId="77777777" w:rsidR="009C51A8" w:rsidRDefault="00000000">
            <w:r>
              <w:rPr>
                <w:b/>
                <w:bCs/>
                <w:color w:val="FFFFFF"/>
                <w:sz w:val="19"/>
                <w:szCs w:val="19"/>
              </w:rPr>
              <w:t>Actor</w:t>
            </w:r>
          </w:p>
        </w:tc>
        <w:tc>
          <w:tcPr>
            <w:tcW w:w="5360" w:type="dxa"/>
            <w:tcBorders>
              <w:top w:val="single" w:sz="1" w:space="0" w:color="E2DDD6"/>
              <w:left w:val="single" w:sz="1" w:space="0" w:color="E2DDD6"/>
              <w:bottom w:val="single" w:sz="1" w:space="0" w:color="E2DDD6"/>
              <w:right w:val="single" w:sz="1" w:space="0" w:color="E2DDD6"/>
            </w:tcBorders>
            <w:shd w:val="clear" w:color="auto" w:fill="1A1612"/>
            <w:tcMar>
              <w:top w:w="80" w:type="dxa"/>
              <w:left w:w="140" w:type="dxa"/>
              <w:bottom w:w="80" w:type="dxa"/>
              <w:right w:w="140" w:type="dxa"/>
            </w:tcMar>
          </w:tcPr>
          <w:p w14:paraId="3C257126" w14:textId="77777777" w:rsidR="009C51A8" w:rsidRDefault="00000000">
            <w:r>
              <w:rPr>
                <w:b/>
                <w:bCs/>
                <w:color w:val="FFFFFF"/>
                <w:sz w:val="19"/>
                <w:szCs w:val="19"/>
              </w:rPr>
              <w:t>Description</w:t>
            </w:r>
          </w:p>
        </w:tc>
      </w:tr>
      <w:tr w:rsidR="009C51A8" w14:paraId="00316D52"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5FACD439" w14:textId="77777777" w:rsidR="009C51A8" w:rsidRDefault="00000000">
            <w:r>
              <w:rPr>
                <w:b/>
                <w:bCs/>
                <w:color w:val="1A1612"/>
                <w:sz w:val="19"/>
                <w:szCs w:val="19"/>
              </w:rPr>
              <w:t>Create / Join Household</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0456706B"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032366F5" w14:textId="77777777" w:rsidR="009C51A8" w:rsidRDefault="00000000">
            <w:r>
              <w:rPr>
                <w:color w:val="1A1612"/>
                <w:sz w:val="18"/>
                <w:szCs w:val="18"/>
              </w:rPr>
              <w:t xml:space="preserve">The user either creates a new household with a </w:t>
            </w:r>
            <w:proofErr w:type="gramStart"/>
            <w:r>
              <w:rPr>
                <w:color w:val="1A1612"/>
                <w:sz w:val="18"/>
                <w:szCs w:val="18"/>
              </w:rPr>
              <w:t>name, or</w:t>
            </w:r>
            <w:proofErr w:type="gramEnd"/>
            <w:r>
              <w:rPr>
                <w:color w:val="1A1612"/>
                <w:sz w:val="18"/>
                <w:szCs w:val="18"/>
              </w:rPr>
              <w:t xml:space="preserve"> joins an existing one by entering a 6-character invite code. This must happen before any expenses can be logged.</w:t>
            </w:r>
          </w:p>
        </w:tc>
      </w:tr>
      <w:tr w:rsidR="009C51A8" w14:paraId="5680F706"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033B8BA2" w14:textId="77777777" w:rsidR="009C51A8" w:rsidRDefault="00000000">
            <w:r>
              <w:rPr>
                <w:b/>
                <w:bCs/>
                <w:color w:val="1A1612"/>
                <w:sz w:val="19"/>
                <w:szCs w:val="19"/>
              </w:rPr>
              <w:t>Add Shared Expense</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1E6869BD"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26AD417A" w14:textId="77777777" w:rsidR="009C51A8" w:rsidRDefault="00000000">
            <w:pPr>
              <w:spacing w:after="40"/>
            </w:pPr>
            <w:r>
              <w:rPr>
                <w:color w:val="1A1612"/>
                <w:sz w:val="18"/>
                <w:szCs w:val="18"/>
              </w:rPr>
              <w:t>The user logs a new expense with a description, amount, and category. Automatically triggers the splitting logic.</w:t>
            </w:r>
          </w:p>
          <w:p w14:paraId="5FB5A4D2" w14:textId="77777777" w:rsidR="009C51A8" w:rsidRDefault="00000000">
            <w:r>
              <w:rPr>
                <w:i/>
                <w:iCs/>
                <w:color w:val="3A5AAA"/>
                <w:sz w:val="17"/>
                <w:szCs w:val="17"/>
              </w:rPr>
              <w:t>«include» Split Expense Equally</w:t>
            </w:r>
          </w:p>
        </w:tc>
      </w:tr>
      <w:tr w:rsidR="009C51A8" w14:paraId="211B5474"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2C918489" w14:textId="77777777" w:rsidR="009C51A8" w:rsidRDefault="00000000">
            <w:r>
              <w:rPr>
                <w:b/>
                <w:bCs/>
                <w:color w:val="1A1612"/>
                <w:sz w:val="19"/>
                <w:szCs w:val="19"/>
              </w:rPr>
              <w:t>Split Expense Equally</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65965010" w14:textId="77777777" w:rsidR="009C51A8" w:rsidRDefault="00000000">
            <w:r>
              <w:rPr>
                <w:color w:val="A67C3A"/>
                <w:sz w:val="18"/>
                <w:szCs w:val="18"/>
              </w:rPr>
              <w:t>System</w:t>
            </w:r>
          </w:p>
        </w:tc>
        <w:tc>
          <w:tcPr>
            <w:tcW w:w="53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528A5CEA" w14:textId="77777777" w:rsidR="009C51A8" w:rsidRDefault="00000000">
            <w:r>
              <w:rPr>
                <w:color w:val="1A1612"/>
                <w:sz w:val="18"/>
                <w:szCs w:val="18"/>
              </w:rPr>
              <w:t>Triggered whenever an expense is added. Divides the total amount by the number of included members and updates each person's balance accordingly.</w:t>
            </w:r>
          </w:p>
        </w:tc>
      </w:tr>
      <w:tr w:rsidR="009C51A8" w14:paraId="731C990C"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308398A5" w14:textId="77777777" w:rsidR="009C51A8" w:rsidRDefault="00000000">
            <w:r>
              <w:rPr>
                <w:b/>
                <w:bCs/>
                <w:color w:val="1A1612"/>
                <w:sz w:val="19"/>
                <w:szCs w:val="19"/>
              </w:rPr>
              <w:t>Exclude Member from Expense</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4383B5C0"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2EE06F5A" w14:textId="77777777" w:rsidR="009C51A8" w:rsidRDefault="00000000">
            <w:r>
              <w:rPr>
                <w:color w:val="1A1612"/>
                <w:sz w:val="18"/>
                <w:szCs w:val="18"/>
              </w:rPr>
              <w:t>When adding an expense, the user can toggle off specific household members. The cost is then split only among those who remain included.</w:t>
            </w:r>
          </w:p>
        </w:tc>
      </w:tr>
      <w:tr w:rsidR="009C51A8" w14:paraId="47A2056B"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2B285AE5" w14:textId="77777777" w:rsidR="009C51A8" w:rsidRDefault="00000000">
            <w:r>
              <w:rPr>
                <w:b/>
                <w:bCs/>
                <w:color w:val="1A1612"/>
                <w:sz w:val="19"/>
                <w:szCs w:val="19"/>
              </w:rPr>
              <w:t>Delete Owned Expense</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4633CE7F"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4C85A6AB" w14:textId="77777777" w:rsidR="009C51A8" w:rsidRDefault="00000000">
            <w:pPr>
              <w:spacing w:after="40"/>
            </w:pPr>
            <w:r>
              <w:rPr>
                <w:color w:val="1A1612"/>
                <w:sz w:val="18"/>
                <w:szCs w:val="18"/>
              </w:rPr>
              <w:t>A user can delete any expense they personally paid for. Requires confirmation. Automatically triggers a balance recalculation.</w:t>
            </w:r>
          </w:p>
          <w:p w14:paraId="3E57C15E" w14:textId="77777777" w:rsidR="009C51A8" w:rsidRDefault="00000000">
            <w:r>
              <w:rPr>
                <w:i/>
                <w:iCs/>
                <w:color w:val="3A5AAA"/>
                <w:sz w:val="17"/>
                <w:szCs w:val="17"/>
              </w:rPr>
              <w:t>«include» Recalculate Balances</w:t>
            </w:r>
          </w:p>
        </w:tc>
      </w:tr>
      <w:tr w:rsidR="009C51A8" w14:paraId="0785BBFC"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2DB6C4A5" w14:textId="77777777" w:rsidR="009C51A8" w:rsidRDefault="00000000">
            <w:r>
              <w:rPr>
                <w:b/>
                <w:bCs/>
                <w:color w:val="1A1612"/>
                <w:sz w:val="19"/>
                <w:szCs w:val="19"/>
              </w:rPr>
              <w:t>Recalculate Balances</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57A2C18F" w14:textId="77777777" w:rsidR="009C51A8" w:rsidRDefault="00000000">
            <w:r>
              <w:rPr>
                <w:color w:val="A67C3A"/>
                <w:sz w:val="18"/>
                <w:szCs w:val="18"/>
              </w:rPr>
              <w:t>System</w:t>
            </w:r>
          </w:p>
        </w:tc>
        <w:tc>
          <w:tcPr>
            <w:tcW w:w="53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19E88011" w14:textId="77777777" w:rsidR="009C51A8" w:rsidRDefault="00000000">
            <w:r>
              <w:rPr>
                <w:color w:val="1A1612"/>
                <w:sz w:val="18"/>
                <w:szCs w:val="18"/>
              </w:rPr>
              <w:t>Triggered when an expense is deleted or a settlement is recorded. Recomputes the net balance for all affected members from the full expense and settlement history.</w:t>
            </w:r>
          </w:p>
        </w:tc>
      </w:tr>
      <w:tr w:rsidR="009C51A8" w14:paraId="4038BDF5"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308961AE" w14:textId="77777777" w:rsidR="009C51A8" w:rsidRDefault="00000000">
            <w:r>
              <w:rPr>
                <w:b/>
                <w:bCs/>
                <w:color w:val="1A1612"/>
                <w:sz w:val="19"/>
                <w:szCs w:val="19"/>
              </w:rPr>
              <w:lastRenderedPageBreak/>
              <w:t>View Personal Dashboard</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21750D5B"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228E17EE" w14:textId="77777777" w:rsidR="009C51A8" w:rsidRDefault="00000000">
            <w:r>
              <w:rPr>
                <w:color w:val="1A1612"/>
                <w:sz w:val="18"/>
                <w:szCs w:val="18"/>
              </w:rPr>
              <w:t>Displays the logged-in user's personal balance view — who they owe and who owes them. Reads the current calculated balances from the database.</w:t>
            </w:r>
          </w:p>
        </w:tc>
      </w:tr>
      <w:tr w:rsidR="009C51A8" w14:paraId="3324385C"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5BDC3831" w14:textId="77777777" w:rsidR="009C51A8" w:rsidRDefault="00000000">
            <w:r>
              <w:rPr>
                <w:b/>
                <w:bCs/>
                <w:color w:val="1A1612"/>
                <w:sz w:val="19"/>
                <w:szCs w:val="19"/>
              </w:rPr>
              <w:t>View Expense History</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2A64A7FD"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728D55DF" w14:textId="77777777" w:rsidR="009C51A8" w:rsidRDefault="00000000">
            <w:r>
              <w:rPr>
                <w:color w:val="1A1612"/>
                <w:sz w:val="18"/>
                <w:szCs w:val="18"/>
              </w:rPr>
              <w:t>Shows all household expenses organised by month. Each entry displays the description, amount, category, who paid, and the date.</w:t>
            </w:r>
          </w:p>
        </w:tc>
      </w:tr>
      <w:tr w:rsidR="009C51A8" w14:paraId="3075A5B8"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0F92EDED" w14:textId="77777777" w:rsidR="009C51A8" w:rsidRDefault="00000000">
            <w:r>
              <w:rPr>
                <w:b/>
                <w:bCs/>
                <w:color w:val="1A1612"/>
                <w:sz w:val="19"/>
                <w:szCs w:val="19"/>
              </w:rPr>
              <w:t>Manage Profile</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12BE6209"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2CC3AAF1" w14:textId="77777777" w:rsidR="009C51A8" w:rsidRDefault="00000000">
            <w:pPr>
              <w:spacing w:after="40"/>
            </w:pPr>
            <w:r>
              <w:rPr>
                <w:color w:val="1A1612"/>
                <w:sz w:val="18"/>
                <w:szCs w:val="18"/>
              </w:rPr>
              <w:t>The user can update their full name and IBAN from the profile settings page.</w:t>
            </w:r>
          </w:p>
          <w:p w14:paraId="6981B7D0" w14:textId="77777777" w:rsidR="009C51A8" w:rsidRDefault="00000000">
            <w:r>
              <w:rPr>
                <w:i/>
                <w:iCs/>
                <w:color w:val="3A5AAA"/>
                <w:sz w:val="17"/>
                <w:szCs w:val="17"/>
              </w:rPr>
              <w:t>«include» Save IBAN</w:t>
            </w:r>
          </w:p>
        </w:tc>
      </w:tr>
      <w:tr w:rsidR="009C51A8" w14:paraId="442E898C"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2C6340B0" w14:textId="77777777" w:rsidR="009C51A8" w:rsidRDefault="00000000">
            <w:r>
              <w:rPr>
                <w:b/>
                <w:bCs/>
                <w:color w:val="1A1612"/>
                <w:sz w:val="19"/>
                <w:szCs w:val="19"/>
              </w:rPr>
              <w:t>Save IBAN</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76B5664B" w14:textId="77777777" w:rsidR="009C51A8" w:rsidRDefault="00000000">
            <w:r>
              <w:rPr>
                <w:color w:val="A67C3A"/>
                <w:sz w:val="18"/>
                <w:szCs w:val="18"/>
              </w:rPr>
              <w:t>System</w:t>
            </w:r>
          </w:p>
        </w:tc>
        <w:tc>
          <w:tcPr>
            <w:tcW w:w="53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28223A97" w14:textId="77777777" w:rsidR="009C51A8" w:rsidRDefault="00000000">
            <w:r>
              <w:rPr>
                <w:color w:val="1A1612"/>
                <w:sz w:val="18"/>
                <w:szCs w:val="18"/>
              </w:rPr>
              <w:t>When the user submits their profile, their IBAN is stored in the database and becomes available to household members during the settle flow.</w:t>
            </w:r>
          </w:p>
        </w:tc>
      </w:tr>
      <w:tr w:rsidR="009C51A8" w14:paraId="1DFBF3BA"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485F9FC4" w14:textId="77777777" w:rsidR="009C51A8" w:rsidRDefault="00000000">
            <w:r>
              <w:rPr>
                <w:b/>
                <w:bCs/>
                <w:color w:val="1A1612"/>
                <w:sz w:val="19"/>
                <w:szCs w:val="19"/>
              </w:rPr>
              <w:t>Settle Debt</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17810F3A" w14:textId="77777777" w:rsidR="009C51A8" w:rsidRDefault="00000000">
            <w:r>
              <w:rPr>
                <w:color w:val="A67C3A"/>
                <w:sz w:val="18"/>
                <w:szCs w:val="18"/>
              </w:rPr>
              <w:t>User</w:t>
            </w:r>
          </w:p>
        </w:tc>
        <w:tc>
          <w:tcPr>
            <w:tcW w:w="53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40" w:type="dxa"/>
              <w:bottom w:w="80" w:type="dxa"/>
              <w:right w:w="140" w:type="dxa"/>
            </w:tcMar>
            <w:vAlign w:val="center"/>
          </w:tcPr>
          <w:p w14:paraId="4D31E28F" w14:textId="77777777" w:rsidR="009C51A8" w:rsidRDefault="00000000">
            <w:pPr>
              <w:spacing w:after="40"/>
            </w:pPr>
            <w:r>
              <w:rPr>
                <w:color w:val="1A1612"/>
                <w:sz w:val="18"/>
                <w:szCs w:val="18"/>
              </w:rPr>
              <w:t>When a user owes money, they click the Settle button on that row. The system retrieves the payee's IBAN so the user can copy it and complete the bank transfer manually.</w:t>
            </w:r>
          </w:p>
          <w:p w14:paraId="0DCD7486" w14:textId="77777777" w:rsidR="009C51A8" w:rsidRDefault="00000000">
            <w:r>
              <w:rPr>
                <w:i/>
                <w:iCs/>
                <w:color w:val="3A5AAA"/>
                <w:sz w:val="17"/>
                <w:szCs w:val="17"/>
              </w:rPr>
              <w:t>«include» Copy Recipient IBAN</w:t>
            </w:r>
          </w:p>
        </w:tc>
      </w:tr>
      <w:tr w:rsidR="009C51A8" w14:paraId="6D792B9F" w14:textId="77777777">
        <w:tblPrEx>
          <w:tblCellMar>
            <w:top w:w="0" w:type="dxa"/>
            <w:bottom w:w="0" w:type="dxa"/>
          </w:tblCellMar>
        </w:tblPrEx>
        <w:tc>
          <w:tcPr>
            <w:tcW w:w="26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65C1DF24" w14:textId="77777777" w:rsidR="009C51A8" w:rsidRDefault="00000000">
            <w:r>
              <w:rPr>
                <w:b/>
                <w:bCs/>
                <w:color w:val="1A1612"/>
                <w:sz w:val="19"/>
                <w:szCs w:val="19"/>
              </w:rPr>
              <w:t>Copy Recipient IBAN</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599A473C" w14:textId="77777777" w:rsidR="009C51A8" w:rsidRDefault="00000000">
            <w:r>
              <w:rPr>
                <w:color w:val="A67C3A"/>
                <w:sz w:val="18"/>
                <w:szCs w:val="18"/>
              </w:rPr>
              <w:t>System / Bank App</w:t>
            </w:r>
          </w:p>
        </w:tc>
        <w:tc>
          <w:tcPr>
            <w:tcW w:w="5360" w:type="dxa"/>
            <w:tcBorders>
              <w:top w:val="single" w:sz="1" w:space="0" w:color="E2DDD6"/>
              <w:left w:val="single" w:sz="1" w:space="0" w:color="E2DDD6"/>
              <w:bottom w:val="single" w:sz="1" w:space="0" w:color="E2DDD6"/>
              <w:right w:val="single" w:sz="1" w:space="0" w:color="E2DDD6"/>
            </w:tcBorders>
            <w:shd w:val="clear" w:color="auto" w:fill="F7F4EF"/>
            <w:tcMar>
              <w:top w:w="80" w:type="dxa"/>
              <w:left w:w="140" w:type="dxa"/>
              <w:bottom w:w="80" w:type="dxa"/>
              <w:right w:w="140" w:type="dxa"/>
            </w:tcMar>
            <w:vAlign w:val="center"/>
          </w:tcPr>
          <w:p w14:paraId="0EABBCDD" w14:textId="77777777" w:rsidR="009C51A8" w:rsidRDefault="00000000">
            <w:r>
              <w:rPr>
                <w:color w:val="1A1612"/>
                <w:sz w:val="18"/>
                <w:szCs w:val="18"/>
              </w:rPr>
              <w:t>The payee's saved IBAN is fetched and displayed in a modal. The user copies it and switches to their bank app to complete the transfer. The actual payment happens entirely outside Mizan.</w:t>
            </w:r>
          </w:p>
        </w:tc>
      </w:tr>
    </w:tbl>
    <w:p w14:paraId="5C8B5B96" w14:textId="77777777" w:rsidR="009C51A8" w:rsidRDefault="009C51A8">
      <w:pPr>
        <w:pBdr>
          <w:bottom w:val="single" w:sz="4" w:space="1" w:color="E2DDD6"/>
        </w:pBdr>
        <w:spacing w:before="180" w:after="180"/>
      </w:pPr>
    </w:p>
    <w:p w14:paraId="694567D3" w14:textId="77777777" w:rsidR="009C51A8" w:rsidRDefault="00000000">
      <w:pPr>
        <w:pStyle w:val="Heading1"/>
      </w:pPr>
      <w:r>
        <w:t>5. «include» Relationships Explained</w:t>
      </w:r>
    </w:p>
    <w:p w14:paraId="26ACFDCB" w14:textId="77777777" w:rsidR="009C51A8" w:rsidRDefault="00000000">
      <w:pPr>
        <w:spacing w:before="80" w:after="80"/>
      </w:pPr>
      <w:r>
        <w:rPr>
          <w:color w:val="1A1612"/>
        </w:rPr>
        <w:t>In UML use case diagrams, an «include» relationship means that one use case always triggers another as a required part of its execution. The included use case is not optional — it happens every time the base use case runs. Mizan has four include relationships in its diagram.</w:t>
      </w:r>
    </w:p>
    <w:p w14:paraId="55911D0D" w14:textId="77777777" w:rsidR="009C51A8" w:rsidRDefault="009C51A8">
      <w:pPr>
        <w:spacing w:before="80"/>
      </w:pPr>
    </w:p>
    <w:p w14:paraId="3B14606D" w14:textId="77777777" w:rsidR="009C51A8" w:rsidRDefault="00000000">
      <w:pPr>
        <w:pStyle w:val="Heading2"/>
      </w:pPr>
      <w:r>
        <w:t xml:space="preserve">Add Shared </w:t>
      </w:r>
      <w:proofErr w:type="gramStart"/>
      <w:r>
        <w:t>Expense  «</w:t>
      </w:r>
      <w:proofErr w:type="gramEnd"/>
      <w:r>
        <w:t>include</w:t>
      </w:r>
      <w:proofErr w:type="gramStart"/>
      <w:r>
        <w:t>»  Split</w:t>
      </w:r>
      <w:proofErr w:type="gramEnd"/>
      <w:r>
        <w:t xml:space="preserve"> Expense Equally</w:t>
      </w:r>
    </w:p>
    <w:p w14:paraId="17C4143C" w14:textId="321C0EA7" w:rsidR="009C51A8" w:rsidRDefault="00000000">
      <w:pPr>
        <w:spacing w:before="80" w:after="80"/>
      </w:pPr>
      <w:r>
        <w:rPr>
          <w:color w:val="1A1612"/>
        </w:rPr>
        <w:t>Every time a user adds an expense, the system must immediately calculate how to divide the cost among the included household members. This is not a separate action the user takes</w:t>
      </w:r>
      <w:r w:rsidR="0079284A">
        <w:rPr>
          <w:color w:val="1A1612"/>
        </w:rPr>
        <w:t>,</w:t>
      </w:r>
      <w:r>
        <w:rPr>
          <w:color w:val="1A1612"/>
        </w:rPr>
        <w:t xml:space="preserve"> it happens automatically and invisibly as soon as the expense is saved. The split logic reads the total amount, checks the Expense_Exclusions table for any excluded members, and divides the remainder equally. Without this step the expense exists in the </w:t>
      </w:r>
      <w:proofErr w:type="gramStart"/>
      <w:r>
        <w:rPr>
          <w:color w:val="1A1612"/>
        </w:rPr>
        <w:t>database</w:t>
      </w:r>
      <w:proofErr w:type="gramEnd"/>
      <w:r>
        <w:rPr>
          <w:color w:val="1A1612"/>
        </w:rPr>
        <w:t xml:space="preserve"> but nobody's balance would reflect it.</w:t>
      </w:r>
    </w:p>
    <w:p w14:paraId="58490515" w14:textId="77777777" w:rsidR="009C51A8" w:rsidRDefault="009C51A8">
      <w:pPr>
        <w:spacing w:before="80"/>
      </w:pPr>
    </w:p>
    <w:p w14:paraId="0454D4D1" w14:textId="77777777" w:rsidR="009C51A8" w:rsidRDefault="00000000">
      <w:pPr>
        <w:pStyle w:val="Heading2"/>
      </w:pPr>
      <w:r>
        <w:t xml:space="preserve">Delete Owned </w:t>
      </w:r>
      <w:proofErr w:type="gramStart"/>
      <w:r>
        <w:t>Expense  «</w:t>
      </w:r>
      <w:proofErr w:type="gramEnd"/>
      <w:r>
        <w:t>include</w:t>
      </w:r>
      <w:proofErr w:type="gramStart"/>
      <w:r>
        <w:t>»  Recalculate</w:t>
      </w:r>
      <w:proofErr w:type="gramEnd"/>
      <w:r>
        <w:t xml:space="preserve"> Balances</w:t>
      </w:r>
    </w:p>
    <w:p w14:paraId="457515C4" w14:textId="77777777" w:rsidR="009C51A8" w:rsidRDefault="00000000">
      <w:pPr>
        <w:spacing w:before="80" w:after="80"/>
      </w:pPr>
      <w:r>
        <w:rPr>
          <w:color w:val="1A1612"/>
        </w:rPr>
        <w:t xml:space="preserve">When a user deletes an </w:t>
      </w:r>
      <w:proofErr w:type="gramStart"/>
      <w:r>
        <w:rPr>
          <w:color w:val="1A1612"/>
        </w:rPr>
        <w:t>expense</w:t>
      </w:r>
      <w:proofErr w:type="gramEnd"/>
      <w:r>
        <w:rPr>
          <w:color w:val="1A1612"/>
        </w:rPr>
        <w:t xml:space="preserve"> they paid for, the amounts that were owed </w:t>
      </w:r>
      <w:proofErr w:type="gramStart"/>
      <w:r>
        <w:rPr>
          <w:color w:val="1A1612"/>
        </w:rPr>
        <w:t>as a result of</w:t>
      </w:r>
      <w:proofErr w:type="gramEnd"/>
      <w:r>
        <w:rPr>
          <w:color w:val="1A1612"/>
        </w:rPr>
        <w:t xml:space="preserve"> that expense are no longer valid. The system must immediately recalculate the net balance for every household member who was included in that expense. This happens automatically on deletion. The recalculation reads the full remaining expense history and settlement history and recomputes all balances from scratch, which guarantees accuracy regardless of how many expenses have been added or deleted.</w:t>
      </w:r>
    </w:p>
    <w:p w14:paraId="37D0D0C0" w14:textId="77777777" w:rsidR="009C51A8" w:rsidRDefault="009C51A8">
      <w:pPr>
        <w:spacing w:before="80"/>
      </w:pPr>
    </w:p>
    <w:p w14:paraId="60E539B4" w14:textId="77777777" w:rsidR="009C51A8" w:rsidRDefault="00000000">
      <w:pPr>
        <w:pStyle w:val="Heading2"/>
      </w:pPr>
      <w:r>
        <w:t xml:space="preserve">Manage </w:t>
      </w:r>
      <w:proofErr w:type="gramStart"/>
      <w:r>
        <w:t>Profile  «</w:t>
      </w:r>
      <w:proofErr w:type="gramEnd"/>
      <w:r>
        <w:t>include</w:t>
      </w:r>
      <w:proofErr w:type="gramStart"/>
      <w:r>
        <w:t>»  Save</w:t>
      </w:r>
      <w:proofErr w:type="gramEnd"/>
      <w:r>
        <w:t xml:space="preserve"> IBAN</w:t>
      </w:r>
    </w:p>
    <w:p w14:paraId="54E39411" w14:textId="39969550" w:rsidR="009C51A8" w:rsidRDefault="00000000">
      <w:pPr>
        <w:spacing w:before="80" w:after="80"/>
      </w:pPr>
      <w:r>
        <w:rPr>
          <w:color w:val="1A1612"/>
        </w:rPr>
        <w:t xml:space="preserve">When a user submits their profile settings, their IBAN is written to their record in the database. The save is a required part of the profile </w:t>
      </w:r>
      <w:proofErr w:type="gramStart"/>
      <w:r>
        <w:rPr>
          <w:color w:val="1A1612"/>
        </w:rPr>
        <w:t>update</w:t>
      </w:r>
      <w:r w:rsidR="0079284A">
        <w:rPr>
          <w:color w:val="1A1612"/>
        </w:rPr>
        <w:t>,</w:t>
      </w:r>
      <w:proofErr w:type="gramEnd"/>
      <w:r>
        <w:rPr>
          <w:color w:val="1A1612"/>
        </w:rPr>
        <w:t xml:space="preserve"> it is not possible to update your profile without the IBAN field being processed. The saved IBAN is what gets retrieved and displayed to other household members when they click the Settle button on a debt they owe to this user.</w:t>
      </w:r>
    </w:p>
    <w:p w14:paraId="39B43CAC" w14:textId="77777777" w:rsidR="009C51A8" w:rsidRDefault="009C51A8">
      <w:pPr>
        <w:spacing w:before="80"/>
      </w:pPr>
    </w:p>
    <w:p w14:paraId="52886CEC" w14:textId="77777777" w:rsidR="009C51A8" w:rsidRDefault="00000000">
      <w:pPr>
        <w:pStyle w:val="Heading2"/>
      </w:pPr>
      <w:r>
        <w:t xml:space="preserve">Settle </w:t>
      </w:r>
      <w:proofErr w:type="gramStart"/>
      <w:r>
        <w:t>Debt  «</w:t>
      </w:r>
      <w:proofErr w:type="gramEnd"/>
      <w:r>
        <w:t>include</w:t>
      </w:r>
      <w:proofErr w:type="gramStart"/>
      <w:r>
        <w:t>»  Copy</w:t>
      </w:r>
      <w:proofErr w:type="gramEnd"/>
      <w:r>
        <w:t xml:space="preserve"> Recipient IBAN</w:t>
      </w:r>
    </w:p>
    <w:p w14:paraId="56C77CCA" w14:textId="5DA9BB13" w:rsidR="009C51A8" w:rsidRDefault="00000000">
      <w:pPr>
        <w:spacing w:before="80" w:after="80"/>
      </w:pPr>
      <w:r>
        <w:rPr>
          <w:color w:val="1A1612"/>
        </w:rPr>
        <w:t xml:space="preserve">When a user clicks the Settle button on a debt they owe, the system fetches the payee's saved IBAN from the database and displays it in a modal. This retrieval is a required </w:t>
      </w:r>
      <w:proofErr w:type="gramStart"/>
      <w:r>
        <w:rPr>
          <w:color w:val="1A1612"/>
        </w:rPr>
        <w:t>step</w:t>
      </w:r>
      <w:r w:rsidR="0079284A">
        <w:rPr>
          <w:color w:val="1A1612"/>
        </w:rPr>
        <w:t>,</w:t>
      </w:r>
      <w:proofErr w:type="gramEnd"/>
      <w:r>
        <w:rPr>
          <w:color w:val="1A1612"/>
        </w:rPr>
        <w:t xml:space="preserve"> the settle flow cannot complete without it. Once the IBAN is displayed, the user copies it manually and switches to their bank app to complete the transfer. The dashed «include» line in the diagram indicates this step crosses the system boundary into the external Bank App actor, which is outside Mizan's control entirely.</w:t>
      </w:r>
    </w:p>
    <w:p w14:paraId="3E0B302B" w14:textId="77777777" w:rsidR="009C51A8" w:rsidRDefault="009C51A8">
      <w:pPr>
        <w:pBdr>
          <w:bottom w:val="single" w:sz="4" w:space="1" w:color="E2DDD6"/>
        </w:pBdr>
        <w:spacing w:before="180" w:after="180"/>
      </w:pPr>
    </w:p>
    <w:p w14:paraId="4E43B2D8" w14:textId="77777777" w:rsidR="009C51A8" w:rsidRDefault="00000000">
      <w:pPr>
        <w:pStyle w:val="Heading1"/>
      </w:pPr>
      <w:r>
        <w:t>6. System Boundary</w:t>
      </w:r>
    </w:p>
    <w:p w14:paraId="1630DE6A" w14:textId="77777777" w:rsidR="009C51A8" w:rsidRDefault="00000000">
      <w:pPr>
        <w:spacing w:before="80" w:after="80"/>
      </w:pPr>
      <w:r>
        <w:rPr>
          <w:color w:val="1A1612"/>
        </w:rPr>
        <w:t>The rectangle in the diagram represents the Mizan system boundary — everything inside it is built and controlled by the team. Everything outside it is an external dependency.</w:t>
      </w:r>
    </w:p>
    <w:p w14:paraId="6BD14918" w14:textId="77777777" w:rsidR="009C51A8" w:rsidRDefault="009C51A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9C51A8" w14:paraId="57BAD641" w14:textId="77777777">
        <w:tblPrEx>
          <w:tblCellMar>
            <w:top w:w="0" w:type="dxa"/>
            <w:bottom w:w="0" w:type="dxa"/>
          </w:tblCellMar>
        </w:tblPrEx>
        <w:tc>
          <w:tcPr>
            <w:tcW w:w="240" w:type="dxa"/>
            <w:tcBorders>
              <w:top w:val="none" w:sz="0" w:space="0" w:color="FFFFFF"/>
              <w:left w:val="single" w:sz="18" w:space="0" w:color="2E7D52"/>
              <w:bottom w:val="none" w:sz="0" w:space="0" w:color="FFFFFF"/>
              <w:right w:val="none" w:sz="0" w:space="0" w:color="FFFFFF"/>
            </w:tcBorders>
            <w:shd w:val="clear" w:color="auto" w:fill="E8F5EE"/>
            <w:tcMar>
              <w:top w:w="0" w:type="dxa"/>
              <w:left w:w="0" w:type="dxa"/>
              <w:bottom w:w="0" w:type="dxa"/>
              <w:right w:w="0" w:type="dxa"/>
            </w:tcMar>
          </w:tcPr>
          <w:p w14:paraId="56EE0D96" w14:textId="77777777" w:rsidR="009C51A8" w:rsidRDefault="009C51A8"/>
        </w:tc>
        <w:tc>
          <w:tcPr>
            <w:tcW w:w="9120" w:type="dxa"/>
            <w:tcBorders>
              <w:top w:val="none" w:sz="0" w:space="0" w:color="FFFFFF"/>
              <w:left w:val="none" w:sz="0" w:space="0" w:color="FFFFFF"/>
              <w:bottom w:val="none" w:sz="0" w:space="0" w:color="FFFFFF"/>
              <w:right w:val="none" w:sz="0" w:space="0" w:color="FFFFFF"/>
            </w:tcBorders>
            <w:shd w:val="clear" w:color="auto" w:fill="E8F5EE"/>
            <w:tcMar>
              <w:top w:w="120" w:type="dxa"/>
              <w:left w:w="200" w:type="dxa"/>
              <w:bottom w:w="120" w:type="dxa"/>
              <w:right w:w="200" w:type="dxa"/>
            </w:tcMar>
          </w:tcPr>
          <w:p w14:paraId="058C14AE" w14:textId="77777777" w:rsidR="009C51A8" w:rsidRDefault="00000000">
            <w:pPr>
              <w:spacing w:after="60"/>
            </w:pPr>
            <w:r>
              <w:rPr>
                <w:b/>
                <w:bCs/>
                <w:color w:val="2E7D52"/>
                <w:sz w:val="19"/>
                <w:szCs w:val="19"/>
              </w:rPr>
              <w:t>Inside the system boundary</w:t>
            </w:r>
          </w:p>
          <w:p w14:paraId="6A01FAE0" w14:textId="77777777" w:rsidR="009C51A8" w:rsidRDefault="00000000">
            <w:pPr>
              <w:spacing w:after="40"/>
            </w:pPr>
            <w:r>
              <w:rPr>
                <w:color w:val="6B6055"/>
                <w:sz w:val="19"/>
                <w:szCs w:val="19"/>
              </w:rPr>
              <w:t>All use cases initiated by the user: creating households, adding expenses, viewing dashboards, settling debts.</w:t>
            </w:r>
          </w:p>
          <w:p w14:paraId="69024EE5" w14:textId="77777777" w:rsidR="009C51A8" w:rsidRDefault="00000000">
            <w:pPr>
              <w:spacing w:after="40"/>
            </w:pPr>
            <w:r>
              <w:rPr>
                <w:color w:val="6B6055"/>
                <w:sz w:val="19"/>
                <w:szCs w:val="19"/>
              </w:rPr>
              <w:t>All system-triggered use cases: splitting expenses, recalculating balances, saving IBANs, displaying recipient IBANs.</w:t>
            </w:r>
          </w:p>
          <w:p w14:paraId="18999A22" w14:textId="77777777" w:rsidR="009C51A8" w:rsidRDefault="00000000">
            <w:pPr>
              <w:spacing w:after="40"/>
            </w:pPr>
            <w:r>
              <w:rPr>
                <w:color w:val="6B6055"/>
                <w:sz w:val="19"/>
                <w:szCs w:val="19"/>
              </w:rPr>
              <w:t xml:space="preserve">The </w:t>
            </w:r>
            <w:proofErr w:type="spellStart"/>
            <w:r>
              <w:rPr>
                <w:color w:val="6B6055"/>
                <w:sz w:val="19"/>
                <w:szCs w:val="19"/>
              </w:rPr>
              <w:t>Supabase</w:t>
            </w:r>
            <w:proofErr w:type="spellEnd"/>
            <w:r>
              <w:rPr>
                <w:color w:val="6B6055"/>
                <w:sz w:val="19"/>
                <w:szCs w:val="19"/>
              </w:rPr>
              <w:t xml:space="preserve"> backend is shown outside the boundary as an external service the app depends on, not code the team wrote.</w:t>
            </w:r>
          </w:p>
        </w:tc>
      </w:tr>
    </w:tbl>
    <w:p w14:paraId="35BA5587" w14:textId="77777777" w:rsidR="009C51A8" w:rsidRDefault="009C51A8">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9C51A8" w14:paraId="20CC60BB" w14:textId="77777777">
        <w:tblPrEx>
          <w:tblCellMar>
            <w:top w:w="0" w:type="dxa"/>
            <w:bottom w:w="0" w:type="dxa"/>
          </w:tblCellMar>
        </w:tblPrEx>
        <w:tc>
          <w:tcPr>
            <w:tcW w:w="240" w:type="dxa"/>
            <w:tcBorders>
              <w:top w:val="none" w:sz="0" w:space="0" w:color="FFFFFF"/>
              <w:left w:val="single" w:sz="18" w:space="0" w:color="B94040"/>
              <w:bottom w:val="none" w:sz="0" w:space="0" w:color="FFFFFF"/>
              <w:right w:val="none" w:sz="0" w:space="0" w:color="FFFFFF"/>
            </w:tcBorders>
            <w:shd w:val="clear" w:color="auto" w:fill="FBF0F0"/>
            <w:tcMar>
              <w:top w:w="0" w:type="dxa"/>
              <w:left w:w="0" w:type="dxa"/>
              <w:bottom w:w="0" w:type="dxa"/>
              <w:right w:w="0" w:type="dxa"/>
            </w:tcMar>
          </w:tcPr>
          <w:p w14:paraId="486FF4AF" w14:textId="77777777" w:rsidR="009C51A8" w:rsidRDefault="009C51A8"/>
        </w:tc>
        <w:tc>
          <w:tcPr>
            <w:tcW w:w="9120" w:type="dxa"/>
            <w:tcBorders>
              <w:top w:val="none" w:sz="0" w:space="0" w:color="FFFFFF"/>
              <w:left w:val="none" w:sz="0" w:space="0" w:color="FFFFFF"/>
              <w:bottom w:val="none" w:sz="0" w:space="0" w:color="FFFFFF"/>
              <w:right w:val="none" w:sz="0" w:space="0" w:color="FFFFFF"/>
            </w:tcBorders>
            <w:shd w:val="clear" w:color="auto" w:fill="FBF0F0"/>
            <w:tcMar>
              <w:top w:w="120" w:type="dxa"/>
              <w:left w:w="200" w:type="dxa"/>
              <w:bottom w:w="120" w:type="dxa"/>
              <w:right w:w="200" w:type="dxa"/>
            </w:tcMar>
          </w:tcPr>
          <w:p w14:paraId="0A0AB2D9" w14:textId="77777777" w:rsidR="009C51A8" w:rsidRDefault="00000000">
            <w:pPr>
              <w:spacing w:after="60"/>
            </w:pPr>
            <w:r>
              <w:rPr>
                <w:b/>
                <w:bCs/>
                <w:color w:val="B94040"/>
                <w:sz w:val="19"/>
                <w:szCs w:val="19"/>
              </w:rPr>
              <w:t>Outside the system boundary</w:t>
            </w:r>
          </w:p>
          <w:p w14:paraId="577BD711" w14:textId="77777777" w:rsidR="009C51A8" w:rsidRDefault="00000000">
            <w:pPr>
              <w:spacing w:after="40"/>
            </w:pPr>
            <w:proofErr w:type="spellStart"/>
            <w:r>
              <w:rPr>
                <w:color w:val="6B6055"/>
                <w:sz w:val="19"/>
                <w:szCs w:val="19"/>
              </w:rPr>
              <w:t>Supabase</w:t>
            </w:r>
            <w:proofErr w:type="spellEnd"/>
            <w:r>
              <w:rPr>
                <w:color w:val="6B6055"/>
                <w:sz w:val="19"/>
                <w:szCs w:val="19"/>
              </w:rPr>
              <w:t xml:space="preserve"> — a third-party hosted platform. Mizan uses it but does not build or control it.</w:t>
            </w:r>
          </w:p>
          <w:p w14:paraId="44F695C5" w14:textId="77777777" w:rsidR="009C51A8" w:rsidRDefault="00000000">
            <w:pPr>
              <w:spacing w:after="40"/>
            </w:pPr>
            <w:r>
              <w:rPr>
                <w:color w:val="6B6055"/>
                <w:sz w:val="19"/>
                <w:szCs w:val="19"/>
              </w:rPr>
              <w:t xml:space="preserve">The Bank App — entirely external. Mizan has no visibility into whether a transfer was </w:t>
            </w:r>
            <w:proofErr w:type="gramStart"/>
            <w:r>
              <w:rPr>
                <w:color w:val="6B6055"/>
                <w:sz w:val="19"/>
                <w:szCs w:val="19"/>
              </w:rPr>
              <w:t>actually made</w:t>
            </w:r>
            <w:proofErr w:type="gramEnd"/>
            <w:r>
              <w:rPr>
                <w:color w:val="6B6055"/>
                <w:sz w:val="19"/>
                <w:szCs w:val="19"/>
              </w:rPr>
              <w:t>.</w:t>
            </w:r>
          </w:p>
          <w:p w14:paraId="42DC844D" w14:textId="77777777" w:rsidR="009C51A8" w:rsidRDefault="00000000">
            <w:pPr>
              <w:spacing w:after="40"/>
            </w:pPr>
            <w:r>
              <w:rPr>
                <w:color w:val="6B6055"/>
                <w:sz w:val="19"/>
                <w:szCs w:val="19"/>
              </w:rPr>
              <w:t>The actual money movement between users happens outside Mizan. The app only records that the user marked the debt as settled.</w:t>
            </w:r>
          </w:p>
        </w:tc>
      </w:tr>
    </w:tbl>
    <w:p w14:paraId="3EF5E860" w14:textId="77777777" w:rsidR="009C51A8" w:rsidRDefault="009C51A8">
      <w:pPr>
        <w:spacing w:before="160"/>
      </w:pPr>
    </w:p>
    <w:sectPr w:rsidR="009C51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A46"/>
    <w:multiLevelType w:val="hybridMultilevel"/>
    <w:tmpl w:val="60EC9902"/>
    <w:lvl w:ilvl="0" w:tplc="4A7E1B6E">
      <w:start w:val="1"/>
      <w:numFmt w:val="bullet"/>
      <w:lvlText w:val="–"/>
      <w:lvlJc w:val="left"/>
      <w:pPr>
        <w:ind w:left="560" w:hanging="280"/>
      </w:pPr>
      <w:rPr>
        <w:b/>
        <w:bCs/>
        <w:color w:val="A67C3A"/>
      </w:rPr>
    </w:lvl>
    <w:lvl w:ilvl="1" w:tplc="B32E8844">
      <w:numFmt w:val="decimal"/>
      <w:lvlText w:val=""/>
      <w:lvlJc w:val="left"/>
    </w:lvl>
    <w:lvl w:ilvl="2" w:tplc="02722BC4">
      <w:numFmt w:val="decimal"/>
      <w:lvlText w:val=""/>
      <w:lvlJc w:val="left"/>
    </w:lvl>
    <w:lvl w:ilvl="3" w:tplc="4B30FCD6">
      <w:numFmt w:val="decimal"/>
      <w:lvlText w:val=""/>
      <w:lvlJc w:val="left"/>
    </w:lvl>
    <w:lvl w:ilvl="4" w:tplc="3F561C06">
      <w:numFmt w:val="decimal"/>
      <w:lvlText w:val=""/>
      <w:lvlJc w:val="left"/>
    </w:lvl>
    <w:lvl w:ilvl="5" w:tplc="8AE2A5B6">
      <w:numFmt w:val="decimal"/>
      <w:lvlText w:val=""/>
      <w:lvlJc w:val="left"/>
    </w:lvl>
    <w:lvl w:ilvl="6" w:tplc="AFE8D8AC">
      <w:numFmt w:val="decimal"/>
      <w:lvlText w:val=""/>
      <w:lvlJc w:val="left"/>
    </w:lvl>
    <w:lvl w:ilvl="7" w:tplc="E3ACE296">
      <w:numFmt w:val="decimal"/>
      <w:lvlText w:val=""/>
      <w:lvlJc w:val="left"/>
    </w:lvl>
    <w:lvl w:ilvl="8" w:tplc="4288B5D6">
      <w:numFmt w:val="decimal"/>
      <w:lvlText w:val=""/>
      <w:lvlJc w:val="left"/>
    </w:lvl>
  </w:abstractNum>
  <w:abstractNum w:abstractNumId="1" w15:restartNumberingAfterBreak="0">
    <w:nsid w:val="746753FE"/>
    <w:multiLevelType w:val="hybridMultilevel"/>
    <w:tmpl w:val="DB9C6FDC"/>
    <w:lvl w:ilvl="0" w:tplc="ACAE434A">
      <w:start w:val="1"/>
      <w:numFmt w:val="bullet"/>
      <w:lvlText w:val="●"/>
      <w:lvlJc w:val="left"/>
      <w:pPr>
        <w:ind w:left="720" w:hanging="360"/>
      </w:pPr>
    </w:lvl>
    <w:lvl w:ilvl="1" w:tplc="D728A8CA">
      <w:start w:val="1"/>
      <w:numFmt w:val="bullet"/>
      <w:lvlText w:val="○"/>
      <w:lvlJc w:val="left"/>
      <w:pPr>
        <w:ind w:left="1440" w:hanging="360"/>
      </w:pPr>
    </w:lvl>
    <w:lvl w:ilvl="2" w:tplc="C3C27E32">
      <w:start w:val="1"/>
      <w:numFmt w:val="bullet"/>
      <w:lvlText w:val="■"/>
      <w:lvlJc w:val="left"/>
      <w:pPr>
        <w:ind w:left="2160" w:hanging="360"/>
      </w:pPr>
    </w:lvl>
    <w:lvl w:ilvl="3" w:tplc="C4BE4590">
      <w:start w:val="1"/>
      <w:numFmt w:val="bullet"/>
      <w:lvlText w:val="●"/>
      <w:lvlJc w:val="left"/>
      <w:pPr>
        <w:ind w:left="2880" w:hanging="360"/>
      </w:pPr>
    </w:lvl>
    <w:lvl w:ilvl="4" w:tplc="00A0722E">
      <w:start w:val="1"/>
      <w:numFmt w:val="bullet"/>
      <w:lvlText w:val="○"/>
      <w:lvlJc w:val="left"/>
      <w:pPr>
        <w:ind w:left="3600" w:hanging="360"/>
      </w:pPr>
    </w:lvl>
    <w:lvl w:ilvl="5" w:tplc="CEB80FEE">
      <w:start w:val="1"/>
      <w:numFmt w:val="bullet"/>
      <w:lvlText w:val="■"/>
      <w:lvlJc w:val="left"/>
      <w:pPr>
        <w:ind w:left="4320" w:hanging="360"/>
      </w:pPr>
    </w:lvl>
    <w:lvl w:ilvl="6" w:tplc="8A28B008">
      <w:start w:val="1"/>
      <w:numFmt w:val="bullet"/>
      <w:lvlText w:val="●"/>
      <w:lvlJc w:val="left"/>
      <w:pPr>
        <w:ind w:left="5040" w:hanging="360"/>
      </w:pPr>
    </w:lvl>
    <w:lvl w:ilvl="7" w:tplc="D37A7F0E">
      <w:start w:val="1"/>
      <w:numFmt w:val="bullet"/>
      <w:lvlText w:val="●"/>
      <w:lvlJc w:val="left"/>
      <w:pPr>
        <w:ind w:left="5760" w:hanging="360"/>
      </w:pPr>
    </w:lvl>
    <w:lvl w:ilvl="8" w:tplc="B6C2CE38">
      <w:start w:val="1"/>
      <w:numFmt w:val="bullet"/>
      <w:lvlText w:val="●"/>
      <w:lvlJc w:val="left"/>
      <w:pPr>
        <w:ind w:left="6480" w:hanging="360"/>
      </w:pPr>
    </w:lvl>
  </w:abstractNum>
  <w:num w:numId="1" w16cid:durableId="1557664855">
    <w:abstractNumId w:val="1"/>
    <w:lvlOverride w:ilvl="0">
      <w:startOverride w:val="1"/>
    </w:lvlOverride>
  </w:num>
  <w:num w:numId="2" w16cid:durableId="938562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1A8"/>
    <w:rsid w:val="00026622"/>
    <w:rsid w:val="0079284A"/>
    <w:rsid w:val="009C51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BD69592"/>
  <w15:docId w15:val="{5A873BD1-A91F-BE47-8DE6-8BBF4FDD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612"/>
      <w:sz w:val="28"/>
      <w:szCs w:val="28"/>
    </w:rPr>
  </w:style>
  <w:style w:type="paragraph" w:styleId="Heading2">
    <w:name w:val="heading 2"/>
    <w:uiPriority w:val="9"/>
    <w:unhideWhenUsed/>
    <w:qFormat/>
    <w:pPr>
      <w:spacing w:before="220" w:after="80"/>
      <w:outlineLvl w:val="1"/>
    </w:pPr>
    <w:rPr>
      <w:b/>
      <w:bCs/>
      <w:color w:val="A67C3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1076</Words>
  <Characters>6135</Characters>
  <Application>Microsoft Office Word</Application>
  <DocSecurity>0</DocSecurity>
  <Lines>51</Lines>
  <Paragraphs>14</Paragraphs>
  <ScaleCrop>false</ScaleCrop>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Mohammed Alawi AL HAMED (230513625)</cp:lastModifiedBy>
  <cp:revision>2</cp:revision>
  <dcterms:created xsi:type="dcterms:W3CDTF">2026-03-09T02:52:00Z</dcterms:created>
  <dcterms:modified xsi:type="dcterms:W3CDTF">2026-03-09T02:58:00Z</dcterms:modified>
</cp:coreProperties>
</file>