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 – IPv4 Scout Engine (Project GOLD-FINDER)</w:t>
      </w:r>
    </w:p>
    <w:p>
      <w:pPr>
        <w:pStyle w:val="Heading2"/>
      </w:pPr>
      <w:r>
        <w:t>Purpose</w:t>
      </w:r>
    </w:p>
    <w:p>
      <w:r>
        <w:t>This PRD defines the requirements for GOLD-FINDER, a precision IPv4 scouting and validation engine designed for a solo operator.</w:t>
      </w:r>
    </w:p>
    <w:p>
      <w:pPr>
        <w:pStyle w:val="Heading2"/>
      </w:pPr>
      <w:r>
        <w:t>Product Goal</w:t>
      </w:r>
    </w:p>
    <w:p>
      <w:r>
        <w:t>Identify off-market, unannounced IPv4 blocks, validate technical and legal readiness, score monetization potential, and persist results locally for fast repeat execution.</w:t>
      </w:r>
    </w:p>
    <w:p>
      <w:pPr>
        <w:pStyle w:val="Heading2"/>
      </w:pPr>
      <w:r>
        <w:t>Core Principle – Delta-Brain</w:t>
      </w:r>
    </w:p>
    <w:p>
      <w:r>
        <w:t>The local scout_master.csv is the authoritative cache. Before any API call, the system must verify whether the CIDR exists and whether the audit age exceeds the stale threshold.</w:t>
      </w:r>
    </w:p>
    <w:p>
      <w:pPr>
        <w:pStyle w:val="Heading2"/>
      </w:pPr>
      <w:r>
        <w:t>Functional Scope</w:t>
      </w:r>
    </w:p>
    <w:p>
      <w:r>
        <w:t>APNIC registry ingestion and delta diffing; multi-source BGP validation; abuse and hygiene scoring; Indian corporate (MCA) health checks with fuzzy matching; valuation estimation; Streamlit dashboard and outreach teaser generation.</w:t>
      </w:r>
    </w:p>
    <w:p>
      <w:pPr>
        <w:pStyle w:val="Heading2"/>
      </w:pPr>
      <w:r>
        <w:t>Out of Scope</w:t>
      </w:r>
    </w:p>
    <w:p>
      <w:r>
        <w:t>Escrow handling, IPv4 transfers, negotiations, broker operations, and any form of network probing or scanning.</w:t>
      </w:r>
    </w:p>
    <w:p>
      <w:pPr>
        <w:pStyle w:val="Heading2"/>
      </w:pPr>
      <w:r>
        <w:t>Shadow Validation</w:t>
      </w:r>
    </w:p>
    <w:p>
      <w:r>
        <w:t>A CIDR is considered unannounced only if multiple BGP sources confirm zero visibility. Any discrepancy must be flagged for manual review.</w:t>
      </w:r>
    </w:p>
    <w:p>
      <w:pPr>
        <w:pStyle w:val="Heading2"/>
      </w:pPr>
      <w:r>
        <w:t>Data Persistence</w:t>
      </w:r>
    </w:p>
    <w:p>
      <w:r>
        <w:t>All results are stored in scout_master.csv with atomic, thread-safe writes. CSV corruption is a critical failure condition.</w:t>
      </w:r>
    </w:p>
    <w:p>
      <w:pPr>
        <w:pStyle w:val="Heading2"/>
      </w:pPr>
      <w:r>
        <w:t>Required CSV Schema</w:t>
      </w:r>
    </w:p>
    <w:p>
      <w:r>
        <w:t>Prefix, CIDR_Size, Owner_Name, BGP_Visibility, Abuse_Score, MCA_Status, Valuation_Estimate, Readiness_Score, Status_Label, Last_Audit_Date</w:t>
      </w:r>
    </w:p>
    <w:p>
      <w:pPr>
        <w:pStyle w:val="Heading2"/>
      </w:pPr>
      <w:r>
        <w:t>Parallelism &amp; Resilience</w:t>
      </w:r>
    </w:p>
    <w:p>
      <w:r>
        <w:t>Use ThreadPoolExecutor with dynamic throttling. Detect HTTP 429 responses and apply exponential backoff. System must resume safely after crashes.</w:t>
      </w:r>
    </w:p>
    <w:p>
      <w:pPr>
        <w:pStyle w:val="Heading2"/>
      </w:pPr>
      <w:r>
        <w:t>UI / UX</w:t>
      </w:r>
    </w:p>
    <w:p>
      <w:r>
        <w:t>Dashboard shows total leads, total market-ready valuation, and cleanup-required assets. Each row supports outreach teaser generation.</w:t>
      </w:r>
    </w:p>
    <w:p>
      <w:pPr>
        <w:pStyle w:val="Heading2"/>
      </w:pPr>
      <w:r>
        <w:t>Module Architecture</w:t>
      </w:r>
    </w:p>
    <w:p>
      <w:r>
        <w:t>downloader.py (registry ingestion), forensics.py (parallel validation), logic.py (scoring), app.py (Streamlit UI).</w:t>
      </w:r>
    </w:p>
    <w:p>
      <w:pPr>
        <w:pStyle w:val="Heading2"/>
      </w:pPr>
      <w:r>
        <w:t>Success Criteria</w:t>
      </w:r>
    </w:p>
    <w:p>
      <w:r>
        <w:t>No redundant audits, zero data corruption, deterministic restarts, and scan-to-outreach completion in a single session.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