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2563EB"/>
          <w:sz w:val="32"/>
        </w:rPr>
        <w:t>AcademiaHub</w:t>
      </w:r>
    </w:p>
    <w:p>
      <w:pPr>
        <w:jc w:val="center"/>
      </w:pPr>
      <w:r>
        <w:rPr>
          <w:rFonts w:ascii="Arial" w:hAnsi="Arial" w:eastAsia="Arial"/>
          <w:b/>
          <w:color w:val="0F172A"/>
          <w:sz w:val="44"/>
        </w:rPr>
        <w:t>قالب تقرير تحليل إحصائي</w:t>
      </w:r>
    </w:p>
    <w:p>
      <w:pPr>
        <w:jc w:val="center"/>
      </w:pPr>
      <w:r>
        <w:rPr>
          <w:rFonts w:ascii="Arial" w:hAnsi="Arial" w:eastAsia="Arial"/>
          <w:b w:val="0"/>
          <w:color w:val="64748B"/>
          <w:sz w:val="22"/>
        </w:rPr>
        <w:t>قالب أكاديمي أصلي قابل للتعديل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0F2FE"/>
          </w:tcPr>
          <w:p>
            <w:r>
              <w:t>اسم الباحث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الجامعة / المؤسسة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التخصص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التاريخ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وصف البيانات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عدد الاستجابات والمتغيرات والبيانات المفقودة.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اختبارات الصدق والثبات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كرونباخ ألفا، التحليل العاملي، أو الاختبارات المناسبة.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النتائج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جداول وصفية واختبارات الفرضيات.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التفسير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قراءة النتائج بلغة بحثية مفهومة.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قائمة مراجعة قبل التسليم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وضوح الإشكالية والأهداف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اتساق المنهجية مع الأسئلة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تحديث المراجع والتوثيق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تدقيق اللغة والتنسيق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فحص التشابه والاقتباس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