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563EB"/>
          <w:sz w:val="32"/>
        </w:rPr>
        <w:t>AcademiaHub</w:t>
      </w:r>
    </w:p>
    <w:p>
      <w:pPr>
        <w:jc w:val="center"/>
      </w:pPr>
      <w:r>
        <w:rPr>
          <w:rFonts w:ascii="Arial" w:hAnsi="Arial" w:eastAsia="Arial"/>
          <w:b/>
          <w:color w:val="0F172A"/>
          <w:sz w:val="44"/>
        </w:rPr>
        <w:t>نموذج عمل سابق: القيادة التحويلية وأداء المؤسسات</w:t>
      </w:r>
    </w:p>
    <w:p>
      <w:pPr>
        <w:jc w:val="center"/>
      </w:pPr>
      <w:r>
        <w:rPr>
          <w:rFonts w:ascii="Arial" w:hAnsi="Arial" w:eastAsia="Arial"/>
          <w:b w:val="0"/>
          <w:color w:val="64748B"/>
          <w:sz w:val="22"/>
        </w:rPr>
        <w:t>قالب أكاديمي أصلي قابل للتعديل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0F2FE"/>
          </w:tcPr>
          <w:p>
            <w:r>
              <w:t>اسم الباحث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الجامعة / المؤسسة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التخصص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التاريخ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ملخص العمل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هذا ملف نموذجي أصلي أنشئ للعرض داخل المنصة ويمكن استبداله لاحقاً بملفك الفعلي.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نطاق الخدمة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صياغة، مراجعة منهجية، تنسيق، أو تحليل بحسب طبيعة الطلب.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مخرجات متوقعة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ملف قابل للتعديل، تقرير ملاحظات، وتوصيات للتحسين.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قائمة مراجعة قبل التسليم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وضوح الإشكالية والأهداف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اتساق المنهجية مع 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تحديث المراجع والتوثيق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تدقيق اللغة والتنسيق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فحص التشابه والاقتباس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