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2563EB"/>
          <w:sz w:val="32"/>
        </w:rPr>
        <w:t>AcademiaHub</w:t>
      </w:r>
    </w:p>
    <w:p>
      <w:pPr>
        <w:jc w:val="center"/>
      </w:pPr>
      <w:r>
        <w:rPr>
          <w:rFonts w:ascii="Arial" w:hAnsi="Arial" w:eastAsia="Arial"/>
          <w:b/>
          <w:color w:val="0F172A"/>
          <w:sz w:val="44"/>
        </w:rPr>
        <w:t>نموذج عمل سابق: الترجمة الأكاديمية وقبول المقالات</w:t>
      </w:r>
    </w:p>
    <w:p>
      <w:pPr>
        <w:jc w:val="center"/>
      </w:pPr>
      <w:r>
        <w:rPr>
          <w:rFonts w:ascii="Arial" w:hAnsi="Arial" w:eastAsia="Arial"/>
          <w:b w:val="0"/>
          <w:color w:val="64748B"/>
          <w:sz w:val="22"/>
        </w:rPr>
        <w:t>قالب أكاديمي أصلي قابل للتعديل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0F2FE"/>
          </w:tcPr>
          <w:p>
            <w:r>
              <w:t>اسم الباحث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0F2FE"/>
          </w:tcPr>
          <w:p>
            <w:r>
              <w:t>الجامعة / المؤسسة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0F2FE"/>
          </w:tcPr>
          <w:p>
            <w:r>
              <w:t>التخصص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0F2FE"/>
          </w:tcPr>
          <w:p>
            <w:r>
              <w:t>التاريخ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ملخص العمل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هذا ملف نموذجي أصلي أنشئ للعرض داخل المنصة ويمكن استبداله لاحقاً بملفك الفعلي.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نطاق الخدمة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صياغة، مراجعة منهجية، تنسيق، أو تحليل بحسب طبيعة الطلب.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مخرجات متوقعة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ملف قابل للتعديل، تقرير ملاحظات، وتوصيات للتحسين.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قائمة مراجعة قبل التسليم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وضوح الإشكالية والأهداف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اتساق المنهجية مع الأسئلة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تحديث المراجع والتوثيق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تدقيق اللغة والتنسيق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فحص التشابه والاقتباس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