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html" ContentType="text/ht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title-rspec-coverage-initiative"/>
    <w:p>
      <w:pPr>
        <w:pStyle w:val="Heading1"/>
      </w:pPr>
      <w:r>
        <w:t xml:space="preserve">Title: Rspec coverage initiative</w:t>
      </w:r>
    </w:p>
    <w:p>
      <w:pPr>
        <w:pStyle w:val="FirstParagraph"/>
      </w:pPr>
      <w:r>
        <w:t xml:space="preserve">Planned completion date to reach 100 % coverage is by end of December 2019. Plan suggested based on the estimate provided by all squads is to have one dedicated resource working on Rspec all time till Dec end. However squad is free to determine the course of action such as having couple of resource towards end of sprint, having one resource on a rotational basis etc. </w:t>
      </w:r>
    </w:p>
    <w:p>
      <w:pPr>
        <w:pStyle w:val="BodyText"/>
      </w:pPr>
      <w:r>
        <w:br/>
      </w:r>
    </w:p>
    <w:p>
      <w:pPr>
        <w:pStyle w:val="BodyText"/>
      </w:pPr>
      <w:r>
        <w:br/>
      </w:r>
    </w:p>
    <w:p>
      <w:pPr>
        <w:pStyle w:val="BodyText"/>
      </w:pPr>
      <w:r>
        <w:drawing>
          <wp:inline>
            <wp:extent cx="3810000" cy="2540000"/>
            <wp:effectExtent b="0" l="0" r="0" t="0"/>
            <wp:docPr descr="" title="" id="21" name="Picture"/>
            <a:graphic>
              <a:graphicData uri="http://schemas.openxmlformats.org/drawingml/2006/picture">
                <pic:pic>
                  <pic:nvPicPr>
                    <pic:cNvPr descr="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"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3" w:name="X200df3c4c8e1b85e6be5da844bf88c6de8060da"/>
    <w:p>
      <w:pPr>
        <w:pStyle w:val="Heading2"/>
      </w:pPr>
      <w:r>
        <w:rPr>
          <w:b/>
          <w:bCs/>
        </w:rPr>
        <w:t xml:space="preserve">Automation coverage</w:t>
      </w:r>
      <w:r>
        <w:t xml:space="preserve">  </w:t>
      </w:r>
    </w:p>
    <w:tbl>
      <w:tblPr>
        <w:tblStyle w:val="Table"/>
        <w:tblW w:type="pct" w:w="4983"/>
        <w:tblLayout w:type="fixed"/>
        <w:tblLook w:firstRow="0" w:lastRow="0" w:firstColumn="0" w:lastColumn="0" w:noHBand="0" w:noVBand="0" w:val="0000"/>
      </w:tblPr>
      <w:tblGrid>
        <w:gridCol w:w="3022"/>
        <w:gridCol w:w="4870"/>
        <w:gridCol w:w="0"/>
        <w:gridCol w:w="0"/>
        <w:gridCol w:w="0"/>
        <w:gridCol w:w="0"/>
      </w:tblGrid>
      <w:tr>
        <w:tc>
          <w:tcPr/>
          <w:p>
            <w:pPr>
              <w:pStyle w:val="Compact"/>
              <w:jc w:val="left"/>
            </w:pPr>
            <w:r>
              <w:t xml:space="preserve">Squad</w:t>
            </w:r>
          </w:p>
        </w:tc>
        <w:tc>
          <w:tcPr/>
          <w:p>
            <w:pPr>
              <w:pStyle w:val="Compact"/>
              <w:jc w:val="left"/>
            </w:pPr>
            <w:r>
              <w:t xml:space="preserve">Initial coverage % as on 13/01/2020</w:t>
            </w:r>
          </w:p>
        </w:tc>
        <w:tc>
          <w:tcPr/>
          <w:p>
            <w:pPr>
              <w:jc w:val="left"/>
            </w:pPr>
            <w:r>
              <w:t xml:space="preserve">Coverage % as on 20 Jan 2020 </w:t>
            </w:r>
          </w:p>
        </w:tc>
        <w:tc>
          <w:tcPr/>
          <w:p>
            <w:pPr>
              <w:pStyle w:val="Compact"/>
              <w:jc w:val="left"/>
            </w:pPr>
            <w:r>
              <w:t xml:space="preserve">Total test cases</w:t>
            </w:r>
          </w:p>
        </w:tc>
        <w:tc>
          <w:tcPr/>
          <w:p>
            <w:pPr>
              <w:pStyle w:val="Compact"/>
              <w:jc w:val="left"/>
            </w:pPr>
            <w:r>
              <w:t xml:space="preserve">P0</w:t>
            </w:r>
          </w:p>
        </w:tc>
        <w:tc>
          <w:tcPr/>
          <w:p>
            <w:pPr>
              <w:pStyle w:val="Compact"/>
              <w:jc w:val="left"/>
            </w:pPr>
            <w:r>
              <w:t xml:space="preserve">P1</w:t>
            </w:r>
          </w:p>
        </w:tc>
      </w:tr>
      <w:tr>
        <w:tc>
          <w:tcPr/>
          <w:p>
            <w:pPr>
              <w:pStyle w:val="Compact"/>
              <w:jc w:val="left"/>
            </w:pPr>
            <w:r>
              <w:t xml:space="preserve">Sleeper cells</w:t>
            </w:r>
          </w:p>
        </w:tc>
        <w:tc>
          <w:tcPr/>
          <w:p>
            <w:pPr>
              <w:pStyle w:val="Compact"/>
              <w:jc w:val="left"/>
            </w:pPr>
            <w:r>
              <w:t xml:space="preserve">58</w:t>
            </w:r>
          </w:p>
        </w:tc>
        <w:tc>
          <w:tcPr/>
          <w:p>
            <w:pPr>
              <w:pStyle w:val="Compact"/>
              <w:jc w:val="left"/>
            </w:pPr>
            <w:r>
              <w:t xml:space="preserve">58.62</w:t>
            </w:r>
          </w:p>
        </w:tc>
        <w:tc>
          <w:tcPr/>
          <w:p>
            <w:pPr>
              <w:pStyle w:val="Compact"/>
              <w:jc w:val="left"/>
            </w:pPr>
            <w:r>
              <w:t xml:space="preserve">1467</w:t>
            </w:r>
          </w:p>
        </w:tc>
        <w:tc>
          <w:tcPr/>
          <w:p>
            <w:pPr>
              <w:pStyle w:val="Compact"/>
              <w:jc w:val="left"/>
            </w:pPr>
            <w:r>
              <w:t xml:space="preserve">66</w:t>
            </w:r>
          </w:p>
        </w:tc>
        <w:tc>
          <w:tcPr/>
          <w:p>
            <w:pPr>
              <w:pStyle w:val="Compact"/>
              <w:jc w:val="left"/>
            </w:pPr>
            <w:r>
              <w:t xml:space="preserve">579</w:t>
            </w:r>
          </w:p>
        </w:tc>
      </w:tr>
      <w:tr>
        <w:tc>
          <w:tcPr/>
          <w:p>
            <w:pPr>
              <w:pStyle w:val="Compact"/>
              <w:jc w:val="left"/>
            </w:pPr>
            <w:r>
              <w:t xml:space="preserve">Alpha</w:t>
            </w:r>
          </w:p>
        </w:tc>
        <w:tc>
          <w:tcPr/>
          <w:p>
            <w:pPr>
              <w:pStyle w:val="Compact"/>
              <w:jc w:val="left"/>
            </w:pPr>
            <w:r>
              <w:t xml:space="preserve">31.26</w:t>
            </w:r>
          </w:p>
        </w:tc>
        <w:tc>
          <w:tcPr/>
          <w:p>
            <w:pPr>
              <w:pStyle w:val="Compact"/>
              <w:jc w:val="left"/>
            </w:pPr>
            <w:r>
              <w:t xml:space="preserve">31.26</w:t>
            </w:r>
          </w:p>
        </w:tc>
        <w:tc>
          <w:tcPr/>
          <w:p>
            <w:pPr>
              <w:pStyle w:val="Compact"/>
              <w:jc w:val="left"/>
            </w:pPr>
            <w:r>
              <w:t xml:space="preserve">1162</w:t>
            </w:r>
          </w:p>
        </w:tc>
        <w:tc>
          <w:tcPr/>
          <w:p>
            <w:pPr>
              <w:pStyle w:val="Compact"/>
              <w:jc w:val="left"/>
            </w:pPr>
            <w:r>
              <w:t xml:space="preserve">38</w:t>
            </w:r>
          </w:p>
        </w:tc>
        <w:tc>
          <w:tcPr/>
          <w:p>
            <w:pPr>
              <w:pStyle w:val="Compact"/>
              <w:jc w:val="left"/>
            </w:pPr>
            <w:r>
              <w:t xml:space="preserve">494</w:t>
            </w:r>
          </w:p>
        </w:tc>
      </w:tr>
      <w:tr>
        <w:tc>
          <w:tcPr/>
          <w:p>
            <w:pPr>
              <w:pStyle w:val="Compact"/>
              <w:jc w:val="left"/>
            </w:pPr>
            <w:r>
              <w:t xml:space="preserve">Petta</w:t>
            </w:r>
          </w:p>
        </w:tc>
        <w:tc>
          <w:tcPr/>
          <w:p>
            <w:pPr>
              <w:pStyle w:val="Compact"/>
              <w:jc w:val="left"/>
            </w:pPr>
            <w:r>
              <w:t xml:space="preserve">39.14</w:t>
            </w:r>
          </w:p>
        </w:tc>
        <w:tc>
          <w:tcPr/>
          <w:p>
            <w:pPr>
              <w:pStyle w:val="Compact"/>
              <w:jc w:val="left"/>
            </w:pPr>
            <w:r>
              <w:t xml:space="preserve">37.58</w:t>
            </w:r>
          </w:p>
        </w:tc>
        <w:tc>
          <w:tcPr/>
          <w:p>
            <w:pPr>
              <w:jc w:val="left"/>
            </w:pPr>
            <w:r>
              <w:t xml:space="preserve">1333</w:t>
            </w:r>
          </w:p>
          <w:p>
            <w:pPr>
              <w:jc w:val="left"/>
            </w:pPr>
            <w:r>
              <w:br/>
            </w:r>
          </w:p>
        </w:tc>
        <w:tc>
          <w:tcPr/>
          <w:p>
            <w:pPr>
              <w:pStyle w:val="Compact"/>
              <w:jc w:val="left"/>
            </w:pPr>
            <w:r>
              <w:t xml:space="preserve">88</w:t>
            </w:r>
          </w:p>
        </w:tc>
        <w:tc>
          <w:tcPr/>
          <w:p>
            <w:pPr>
              <w:pStyle w:val="Compact"/>
              <w:jc w:val="left"/>
            </w:pPr>
            <w:r>
              <w:t xml:space="preserve">467</w:t>
            </w:r>
          </w:p>
        </w:tc>
      </w:tr>
      <w:tr>
        <w:tc>
          <w:tcPr/>
          <w:p>
            <w:pPr>
              <w:pStyle w:val="Compact"/>
              <w:jc w:val="left"/>
            </w:pPr>
            <w:r>
              <w:t xml:space="preserve">Usual suspects</w:t>
            </w:r>
          </w:p>
        </w:tc>
        <w:tc>
          <w:tcPr/>
          <w:p>
            <w:pPr>
              <w:pStyle w:val="Compact"/>
              <w:jc w:val="left"/>
            </w:pPr>
            <w:r>
              <w:t xml:space="preserve">89</w:t>
            </w:r>
          </w:p>
        </w:tc>
        <w:tc>
          <w:tcPr/>
          <w:p>
            <w:pPr>
              <w:pStyle w:val="Compact"/>
              <w:jc w:val="left"/>
            </w:pPr>
            <w:r>
              <w:t xml:space="preserve">89.44</w:t>
            </w:r>
          </w:p>
        </w:tc>
        <w:tc>
          <w:tcPr/>
          <w:p>
            <w:pPr>
              <w:pStyle w:val="Compact"/>
              <w:jc w:val="left"/>
            </w:pPr>
            <w:r>
              <w:t xml:space="preserve">1288</w:t>
            </w:r>
          </w:p>
        </w:tc>
        <w:tc>
          <w:tcPr/>
          <w:p>
            <w:pPr>
              <w:pStyle w:val="Compact"/>
              <w:jc w:val="left"/>
            </w:pPr>
            <w:r>
              <w:t xml:space="preserve">16</w:t>
            </w:r>
          </w:p>
        </w:tc>
        <w:tc>
          <w:tcPr/>
          <w:p>
            <w:pPr>
              <w:pStyle w:val="Compact"/>
              <w:jc w:val="left"/>
            </w:pPr>
            <w:r>
              <w:t xml:space="preserve">292</w:t>
            </w:r>
          </w:p>
        </w:tc>
      </w:tr>
      <w:tr>
        <w:tc>
          <w:tcPr/>
          <w:p>
            <w:pPr>
              <w:pStyle w:val="Compact"/>
              <w:jc w:val="left"/>
            </w:pPr>
            <w:r>
              <w:t xml:space="preserve">Hacker Hostel</w:t>
            </w:r>
          </w:p>
        </w:tc>
        <w:tc>
          <w:tcPr/>
          <w:p>
            <w:pPr>
              <w:pStyle w:val="Compact"/>
              <w:jc w:val="left"/>
            </w:pPr>
            <w:r>
              <w:t xml:space="preserve">62.46</w:t>
            </w:r>
          </w:p>
        </w:tc>
        <w:tc>
          <w:tcPr/>
          <w:p>
            <w:pPr>
              <w:pStyle w:val="Compact"/>
              <w:jc w:val="left"/>
            </w:pPr>
            <w:r>
              <w:t xml:space="preserve">68.54</w:t>
            </w:r>
          </w:p>
        </w:tc>
        <w:tc>
          <w:tcPr/>
          <w:p>
            <w:pPr>
              <w:pStyle w:val="Compact"/>
              <w:jc w:val="left"/>
            </w:pPr>
            <w:r>
              <w:t xml:space="preserve">3054</w:t>
            </w:r>
          </w:p>
        </w:tc>
        <w:tc>
          <w:tcPr/>
          <w:p>
            <w:pPr>
              <w:pStyle w:val="Compact"/>
              <w:jc w:val="left"/>
            </w:pPr>
            <w:r>
              <w:t xml:space="preserve">66</w:t>
            </w:r>
          </w:p>
        </w:tc>
        <w:tc>
          <w:tcPr/>
          <w:p>
            <w:pPr>
              <w:pStyle w:val="Compact"/>
              <w:jc w:val="left"/>
            </w:pPr>
            <w:r>
              <w:t xml:space="preserve">909</w:t>
            </w:r>
          </w:p>
        </w:tc>
      </w:tr>
      <w:tr>
        <w:tc>
          <w:tcPr/>
          <w:p>
            <w:pPr>
              <w:pStyle w:val="Compact"/>
              <w:jc w:val="left"/>
            </w:pPr>
            <w:r>
              <w:t xml:space="preserve">Pied Piper</w:t>
            </w:r>
          </w:p>
        </w:tc>
        <w:tc>
          <w:tcPr/>
          <w:p>
            <w:pPr>
              <w:pStyle w:val="Compact"/>
              <w:jc w:val="left"/>
            </w:pPr>
            <w:r>
              <w:t xml:space="preserve">80.03</w:t>
            </w:r>
          </w:p>
        </w:tc>
        <w:tc>
          <w:tcPr/>
          <w:p>
            <w:pPr>
              <w:pStyle w:val="Compact"/>
              <w:jc w:val="left"/>
            </w:pPr>
            <w:r>
              <w:t xml:space="preserve">82.12</w:t>
            </w:r>
          </w:p>
        </w:tc>
        <w:tc>
          <w:tcPr/>
          <w:p>
            <w:pPr>
              <w:pStyle w:val="Compact"/>
              <w:jc w:val="left"/>
            </w:pPr>
            <w:r>
              <w:t xml:space="preserve">4598</w:t>
            </w:r>
          </w:p>
        </w:tc>
        <w:tc>
          <w:tcPr/>
          <w:p>
            <w:pPr>
              <w:pStyle w:val="Compact"/>
              <w:jc w:val="left"/>
            </w:pPr>
            <w:r>
              <w:t xml:space="preserve">447</w:t>
            </w:r>
          </w:p>
        </w:tc>
        <w:tc>
          <w:tcPr/>
          <w:p>
            <w:pPr>
              <w:pStyle w:val="Compact"/>
              <w:jc w:val="left"/>
            </w:pPr>
            <w:r>
              <w:t xml:space="preserve">1439</w:t>
            </w:r>
          </w:p>
        </w:tc>
      </w:tr>
      <w:tr>
        <w:tc>
          <w:tcPr/>
          <w:p>
            <w:pPr>
              <w:pStyle w:val="Compact"/>
              <w:jc w:val="left"/>
            </w:pPr>
            <w:r>
              <w:t xml:space="preserve">Bye buggers</w:t>
            </w:r>
          </w:p>
        </w:tc>
        <w:tc>
          <w:tcPr/>
          <w:p>
            <w:pPr>
              <w:pStyle w:val="Compact"/>
              <w:jc w:val="left"/>
            </w:pPr>
            <w:r>
              <w:t xml:space="preserve">49.41</w:t>
            </w:r>
          </w:p>
        </w:tc>
        <w:tc>
          <w:tcPr/>
          <w:p>
            <w:pPr>
              <w:pStyle w:val="Compact"/>
              <w:jc w:val="left"/>
            </w:pPr>
            <w:r>
              <w:t xml:space="preserve">49.41</w:t>
            </w:r>
          </w:p>
        </w:tc>
        <w:tc>
          <w:tcPr/>
          <w:p>
            <w:pPr>
              <w:pStyle w:val="Compact"/>
              <w:jc w:val="left"/>
            </w:pPr>
            <w:r>
              <w:t xml:space="preserve">1740</w:t>
            </w:r>
          </w:p>
        </w:tc>
        <w:tc>
          <w:tcPr/>
          <w:p>
            <w:pPr>
              <w:pStyle w:val="Compact"/>
              <w:jc w:val="left"/>
            </w:pPr>
            <w:r>
              <w:t xml:space="preserve">23</w:t>
            </w:r>
          </w:p>
        </w:tc>
        <w:tc>
          <w:tcPr/>
          <w:p>
            <w:pPr>
              <w:pStyle w:val="Compact"/>
              <w:jc w:val="left"/>
            </w:pPr>
            <w:r>
              <w:t xml:space="preserve">625</w:t>
            </w:r>
          </w:p>
        </w:tc>
      </w:tr>
      <w:tr>
        <w:tc>
          <w:tcPr/>
          <w:p>
            <w:pPr>
              <w:pStyle w:val="Compact"/>
              <w:jc w:val="left"/>
            </w:pPr>
            <w:r>
              <w:t xml:space="preserve">Total Coverage</w:t>
            </w:r>
          </w:p>
        </w:tc>
        <w:tc>
          <w:tcPr/>
          <w:p>
            <w:pPr>
              <w:pStyle w:val="Compact"/>
              <w:jc w:val="left"/>
            </w:pPr>
            <w:r>
              <w:br/>
            </w:r>
          </w:p>
        </w:tc>
        <w:tc>
          <w:tcPr/>
          <w:p>
            <w:pPr>
              <w:pStyle w:val="Compact"/>
              <w:jc w:val="left"/>
            </w:pPr>
            <w:r>
              <w:t xml:space="preserve">59.18</w:t>
            </w:r>
          </w:p>
        </w:tc>
        <w:tc>
          <w:tcPr/>
          <w:p>
            <w:pPr>
              <w:pStyle w:val="Compact"/>
              <w:jc w:val="left"/>
            </w:pPr>
            <w:r>
              <w:br/>
            </w:r>
          </w:p>
        </w:tc>
        <w:tc>
          <w:tcPr/>
          <w:p>
            <w:pPr>
              <w:pStyle w:val="Compact"/>
              <w:jc w:val="left"/>
            </w:pPr>
            <w:r>
              <w:br/>
            </w:r>
          </w:p>
        </w:tc>
        <w:tc>
          <w:tcPr/>
          <w:p>
            <w:pPr>
              <w:pStyle w:val="Compact"/>
              <w:jc w:val="left"/>
            </w:pPr>
            <w:r>
              <w:br/>
            </w:r>
          </w:p>
        </w:tc>
      </w:tr>
    </w:tbl>
    <w:p>
      <w:pPr>
        <w:pStyle w:val="BodyText"/>
      </w:pPr>
      <w:r>
        <w:br/>
      </w:r>
    </w:p>
    <w:bookmarkEnd w:id="23"/>
    <w:bookmarkStart w:id="24" w:name="Rspeccoverageinitiative-Embercoverage"/>
    <w:p>
      <w:pPr>
        <w:pStyle w:val="Heading2"/>
      </w:pPr>
      <w:r>
        <w:rPr>
          <w:b/>
          <w:bCs/>
        </w:rPr>
        <w:t xml:space="preserve">Ember coverage</w:t>
      </w:r>
    </w:p>
    <w:tbl>
      <w:tblPr>
        <w:tblStyle w:val="Table"/>
        <w:tblW w:type="pct" w:w="1768"/>
        <w:tblLayout w:type="fixed"/>
        <w:tblLook w:firstRow="0" w:lastRow="0" w:firstColumn="0" w:lastColumn="0" w:noHBand="0" w:noVBand="0" w:val="0000"/>
      </w:tblPr>
      <w:tblGrid>
        <w:gridCol w:w="1533"/>
        <w:gridCol w:w="1267"/>
      </w:tblGrid>
      <w:tr>
        <w:tc>
          <w:tcPr/>
          <w:p>
            <w:pPr>
              <w:pStyle w:val="Compact"/>
              <w:jc w:val="left"/>
            </w:pPr>
            <w:r>
              <w:t xml:space="preserve">Date</w:t>
            </w:r>
          </w:p>
        </w:tc>
        <w:tc>
          <w:tcPr/>
          <w:p>
            <w:pPr>
              <w:pStyle w:val="Compact"/>
              <w:jc w:val="left"/>
            </w:pPr>
            <w:r>
              <w:t xml:space="preserve">Coverage percentage</w:t>
            </w:r>
          </w:p>
        </w:tc>
      </w:tr>
      <w:tr>
        <w:tc>
          <w:tcPr/>
          <w:p>
            <w:pPr>
              <w:jc w:val="left"/>
            </w:pPr>
            <w:r>
              <w:t xml:space="preserve">13 Jan 2020 </w:t>
            </w:r>
          </w:p>
        </w:tc>
        <w:tc>
          <w:tcPr/>
          <w:p>
            <w:pPr>
              <w:jc w:val="left"/>
            </w:pPr>
            <w:r>
              <w:t xml:space="preserve">59.79%</w:t>
            </w:r>
            <w:r>
              <w:t xml:space="preserve"> </w:t>
            </w:r>
            <w:r>
              <w:t xml:space="preserve">Statement Coverage</w:t>
            </w:r>
            <w:r>
              <w:t xml:space="preserve">  </w:t>
            </w:r>
            <w:r>
              <w:t xml:space="preserve">46.77%</w:t>
            </w:r>
            <w:r>
              <w:t xml:space="preserve"> </w:t>
            </w:r>
            <w:r>
              <w:t xml:space="preserve">Branch Coverage</w:t>
            </w:r>
          </w:p>
        </w:tc>
      </w:tr>
      <w:tr>
        <w:tc>
          <w:tcPr/>
          <w:p>
            <w:pPr>
              <w:jc w:val="left"/>
            </w:pPr>
            <w:r>
              <w:t xml:space="preserve">20 Jan 2020 </w:t>
            </w:r>
          </w:p>
        </w:tc>
        <w:tc>
          <w:tcPr/>
          <w:p>
            <w:pPr>
              <w:jc w:val="left"/>
            </w:pPr>
            <w:r>
              <w:t xml:space="preserve">59.81%</w:t>
            </w:r>
            <w:r>
              <w:t xml:space="preserve"> </w:t>
            </w:r>
            <w:r>
              <w:t xml:space="preserve">Statement Coverage</w:t>
            </w:r>
            <w:r>
              <w:t xml:space="preserve"> </w:t>
            </w:r>
            <w:r>
              <w:t xml:space="preserve">46.82%</w:t>
            </w:r>
            <w:r>
              <w:t xml:space="preserve"> </w:t>
            </w:r>
            <w:r>
              <w:t xml:space="preserve">Branch Coverage</w:t>
            </w:r>
          </w:p>
        </w:tc>
      </w:tr>
    </w:tbl>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ht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2024-02-16T23:13:59Z</dcterms:created>
  <dcterms:modified xsi:type="dcterms:W3CDTF">2024-02-16T23:13:59Z</dcterms:modified>
</cp:coreProperties>
</file>

<file path=docProps/custom.xml><?xml version="1.0" encoding="utf-8"?>
<Properties xmlns="http://schemas.openxmlformats.org/officeDocument/2006/custom-properties" xmlns:vt="http://schemas.openxmlformats.org/officeDocument/2006/docPropsVTypes"/>
</file>