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60"/>
      </w:pPr>
      <w:r>
        <w:t xml:space="preserve">مركز الكيلاني للأغذية — تدقيق داخلي</w:t>
      </w:r>
    </w:p>
    <w:p>
      <w:pPr>
        <w:bidi/>
        <w:spacing w:after="80"/>
      </w:pPr>
      <w:r>
        <w:rPr>
          <w:b/>
          <w:bCs/>
          <w:sz w:val="28"/>
          <w:szCs w:val="28"/>
        </w:rPr>
        <w:t xml:space="preserve">دليل شامل: أداة مراجعة موافقات وعمر ذمة العملاء (v36)</w:t>
      </w:r>
    </w:p>
    <w:p>
      <w:pPr>
        <w:bidi/>
        <w:spacing w:after="110"/>
      </w:pPr>
      <w:r>
        <w:rPr>
          <w:i/>
          <w:iCs/>
        </w:rPr>
        <w:t xml:space="preserve">هذا الدليل يوثّق النسخة الكاملة والنهائية للأداة، بما يشمل: منهجية الحساب، القواعد المعتمدة، شرح كل تبويب من التبويبات الأربعة، وكل كويري من الكويريات السبعة المستخدمة.</w:t>
      </w:r>
    </w:p>
    <w:p>
      <w:pPr>
        <w:pStyle w:val="Heading1"/>
        <w:spacing w:after="150" w:before="320"/>
      </w:pPr>
      <w:r>
        <w:t xml:space="preserve">١. نظرة عامة على الأداة</w:t>
      </w:r>
    </w:p>
    <w:p>
      <w:pPr>
        <w:bidi/>
        <w:spacing w:after="110"/>
      </w:pPr>
      <w:r>
        <w:t xml:space="preserve">أداة HTML مستقلة تعمل بالكامل داخل المتصفح (بدون إنترنت، بدون خادم)، تستقبل نتائج كويريات SAP Business One (لصق يدوي) وتجري كل الحسابات محلياً. لا تُرسل أي بيانات خارج جهاز المستخدم.</w:t>
      </w:r>
    </w:p>
    <w:p>
      <w:pPr>
        <w:pStyle w:val="Heading2"/>
        <w:spacing w:after="120" w:before="240"/>
      </w:pPr>
      <w:r>
        <w:t xml:space="preserve">التبويبات الأربعة</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600"/>
        <w:gridCol w:w="2000"/>
      </w:tblGrid>
      <w:tr>
        <w:tc>
          <w:tcPr>
            <w:tcW w:type="dxa" w:w="1900"/>
            <w:shd w:fill="152A4A" w:val="clear"/>
          </w:tcPr>
          <w:p>
            <w:pPr>
              <w:bidi/>
            </w:pPr>
            <w:r>
              <w:rPr>
                <w:b/>
                <w:bCs/>
                <w:color w:val="FFFFFF"/>
                <w:sz w:val="19"/>
                <w:szCs w:val="19"/>
              </w:rPr>
              <w:t xml:space="preserve">التبويب</w:t>
            </w:r>
          </w:p>
        </w:tc>
        <w:tc>
          <w:tcPr>
            <w:tcW w:type="dxa" w:w="4200"/>
            <w:shd w:fill="152A4A" w:val="clear"/>
          </w:tcPr>
          <w:p>
            <w:pPr>
              <w:bidi/>
            </w:pPr>
            <w:r>
              <w:rPr>
                <w:b/>
                <w:bCs/>
                <w:color w:val="FFFFFF"/>
                <w:sz w:val="19"/>
                <w:szCs w:val="19"/>
              </w:rPr>
              <w:t xml:space="preserve">الوظيفة</w:t>
            </w:r>
          </w:p>
        </w:tc>
        <w:tc>
          <w:tcPr>
            <w:tcW w:type="dxa" w:w="1600"/>
            <w:shd w:fill="152A4A" w:val="clear"/>
          </w:tcPr>
          <w:p>
            <w:pPr>
              <w:bidi/>
            </w:pPr>
            <w:r>
              <w:rPr>
                <w:b/>
                <w:bCs/>
                <w:color w:val="FFFFFF"/>
                <w:sz w:val="19"/>
                <w:szCs w:val="19"/>
              </w:rPr>
              <w:t xml:space="preserve">الكويري</w:t>
            </w:r>
          </w:p>
        </w:tc>
        <w:tc>
          <w:tcPr>
            <w:tcW w:type="dxa" w:w="2000"/>
            <w:shd w:fill="152A4A" w:val="clear"/>
          </w:tcPr>
          <w:p>
            <w:pPr>
              <w:bidi/>
            </w:pPr>
            <w:r>
              <w:rPr>
                <w:b/>
                <w:bCs/>
                <w:color w:val="FFFFFF"/>
                <w:sz w:val="19"/>
                <w:szCs w:val="19"/>
              </w:rPr>
              <w:t xml:space="preserve">مستوى التحليل</w:t>
            </w:r>
          </w:p>
        </w:tc>
      </w:tr>
      <w:tr>
        <w:tc>
          <w:tcPr>
            <w:tcW w:type="dxa" w:w="1900"/>
          </w:tcPr>
          <w:p>
            <w:pPr>
              <w:bidi/>
            </w:pPr>
            <w:r>
              <w:rPr>
                <w:color w:val="1B2536"/>
                <w:sz w:val="19"/>
                <w:szCs w:val="19"/>
              </w:rPr>
              <w:t xml:space="preserve">مراجعة موافقات الفواتير</w:t>
            </w:r>
          </w:p>
        </w:tc>
        <w:tc>
          <w:tcPr>
            <w:tcW w:type="dxa" w:w="4200"/>
          </w:tcPr>
          <w:p>
            <w:pPr>
              <w:bidi/>
            </w:pPr>
            <w:r>
              <w:rPr>
                <w:color w:val="1B2536"/>
                <w:sz w:val="19"/>
                <w:szCs w:val="19"/>
              </w:rPr>
              <w:t xml:space="preserve">فحص الفواتير التي ذهبت لإجراء الموافقة بسبب عمر الذمة، وتحديد هل كانت الموافقة مبرَّرة أم مخالفة</w:t>
            </w:r>
          </w:p>
        </w:tc>
        <w:tc>
          <w:tcPr>
            <w:tcW w:type="dxa" w:w="1600"/>
          </w:tcPr>
          <w:p>
            <w:pPr>
              <w:bidi/>
            </w:pPr>
            <w:r>
              <w:rPr>
                <w:color w:val="1B2536"/>
                <w:sz w:val="19"/>
                <w:szCs w:val="19"/>
              </w:rPr>
              <w:t xml:space="preserve">١ / ٢ / ٣</w:t>
            </w:r>
          </w:p>
        </w:tc>
        <w:tc>
          <w:tcPr>
            <w:tcW w:type="dxa" w:w="2000"/>
          </w:tcPr>
          <w:p>
            <w:pPr>
              <w:bidi/>
            </w:pPr>
            <w:r>
              <w:rPr>
                <w:color w:val="1B2536"/>
                <w:sz w:val="19"/>
                <w:szCs w:val="19"/>
              </w:rPr>
              <w:t xml:space="preserve">فاتورة بفاتورة</w:t>
            </w:r>
          </w:p>
        </w:tc>
      </w:tr>
      <w:tr>
        <w:tc>
          <w:tcPr>
            <w:tcW w:type="dxa" w:w="1900"/>
          </w:tcPr>
          <w:p>
            <w:pPr>
              <w:bidi/>
            </w:pPr>
            <w:r>
              <w:rPr>
                <w:color w:val="1B2536"/>
                <w:sz w:val="19"/>
                <w:szCs w:val="19"/>
              </w:rPr>
              <w:t xml:space="preserve">عمر الذمة الحالي</w:t>
            </w:r>
          </w:p>
        </w:tc>
        <w:tc>
          <w:tcPr>
            <w:tcW w:type="dxa" w:w="4200"/>
          </w:tcPr>
          <w:p>
            <w:pPr>
              <w:bidi/>
            </w:pPr>
            <w:r>
              <w:rPr>
                <w:color w:val="1B2536"/>
                <w:sz w:val="19"/>
                <w:szCs w:val="19"/>
              </w:rPr>
              <w:t xml:space="preserve">لقطة يومية شاملة لكل عميل: الرصيد، الشهر المستحق منه، حالة التأخر</w:t>
            </w:r>
          </w:p>
        </w:tc>
        <w:tc>
          <w:tcPr>
            <w:tcW w:type="dxa" w:w="1600"/>
          </w:tcPr>
          <w:p>
            <w:pPr>
              <w:bidi/>
            </w:pPr>
            <w:r>
              <w:rPr>
                <w:color w:val="1B2536"/>
                <w:sz w:val="19"/>
                <w:szCs w:val="19"/>
              </w:rPr>
              <w:t xml:space="preserve">٨ (+٢ اختياري)</w:t>
            </w:r>
          </w:p>
        </w:tc>
        <w:tc>
          <w:tcPr>
            <w:tcW w:type="dxa" w:w="2000"/>
          </w:tcPr>
          <w:p>
            <w:pPr>
              <w:bidi/>
            </w:pPr>
            <w:r>
              <w:rPr>
                <w:color w:val="1B2536"/>
                <w:sz w:val="19"/>
                <w:szCs w:val="19"/>
              </w:rPr>
              <w:t xml:space="preserve">كل العملاء دفعة واحدة</w:t>
            </w:r>
          </w:p>
        </w:tc>
      </w:tr>
      <w:tr>
        <w:tc>
          <w:tcPr>
            <w:tcW w:type="dxa" w:w="1900"/>
          </w:tcPr>
          <w:p>
            <w:pPr>
              <w:bidi/>
            </w:pPr>
            <w:r>
              <w:rPr>
                <w:color w:val="1B2536"/>
                <w:sz w:val="19"/>
                <w:szCs w:val="19"/>
              </w:rPr>
              <w:t xml:space="preserve">فحص عميل واحد بالتفصيل</w:t>
            </w:r>
          </w:p>
        </w:tc>
        <w:tc>
          <w:tcPr>
            <w:tcW w:type="dxa" w:w="4200"/>
          </w:tcPr>
          <w:p>
            <w:pPr>
              <w:bidi/>
            </w:pPr>
            <w:r>
              <w:rPr>
                <w:color w:val="1B2536"/>
                <w:sz w:val="19"/>
                <w:szCs w:val="19"/>
              </w:rPr>
              <w:t xml:space="preserve">تتبّع دقيق لكل حركة تسديد لعميل محدد ومطابقتها الزمنية الحقيقية</w:t>
            </w:r>
          </w:p>
        </w:tc>
        <w:tc>
          <w:tcPr>
            <w:tcW w:type="dxa" w:w="1600"/>
          </w:tcPr>
          <w:p>
            <w:pPr>
              <w:bidi/>
            </w:pPr>
            <w:r>
              <w:rPr>
                <w:color w:val="1B2536"/>
                <w:sz w:val="19"/>
                <w:szCs w:val="19"/>
              </w:rPr>
              <w:t xml:space="preserve">٩</w:t>
            </w:r>
          </w:p>
        </w:tc>
        <w:tc>
          <w:tcPr>
            <w:tcW w:type="dxa" w:w="2000"/>
          </w:tcPr>
          <w:p>
            <w:pPr>
              <w:bidi/>
            </w:pPr>
            <w:r>
              <w:rPr>
                <w:color w:val="1B2536"/>
                <w:sz w:val="19"/>
                <w:szCs w:val="19"/>
              </w:rPr>
              <w:t xml:space="preserve">عميل واحد، تفصيل الحركات</w:t>
            </w:r>
          </w:p>
        </w:tc>
      </w:tr>
      <w:tr>
        <w:tc>
          <w:tcPr>
            <w:tcW w:type="dxa" w:w="1900"/>
          </w:tcPr>
          <w:p>
            <w:pPr>
              <w:bidi/>
            </w:pPr>
            <w:r>
              <w:rPr>
                <w:color w:val="1B2536"/>
                <w:sz w:val="19"/>
                <w:szCs w:val="19"/>
              </w:rPr>
              <w:t xml:space="preserve">التحصيل اليومي</w:t>
            </w:r>
          </w:p>
        </w:tc>
        <w:tc>
          <w:tcPr>
            <w:tcW w:type="dxa" w:w="4200"/>
          </w:tcPr>
          <w:p>
            <w:pPr>
              <w:bidi/>
            </w:pPr>
            <w:r>
              <w:rPr>
                <w:color w:val="1B2536"/>
                <w:sz w:val="19"/>
                <w:szCs w:val="19"/>
              </w:rPr>
              <w:t xml:space="preserve">تصنيف كل تحصيل يومي: مبكر / حسب التعريف / متأخر</w:t>
            </w:r>
          </w:p>
        </w:tc>
        <w:tc>
          <w:tcPr>
            <w:tcW w:type="dxa" w:w="1600"/>
          </w:tcPr>
          <w:p>
            <w:pPr>
              <w:bidi/>
            </w:pPr>
            <w:r>
              <w:rPr>
                <w:color w:val="1B2536"/>
                <w:sz w:val="19"/>
                <w:szCs w:val="19"/>
              </w:rPr>
              <w:t xml:space="preserve">١٠</w:t>
            </w:r>
          </w:p>
        </w:tc>
        <w:tc>
          <w:tcPr>
            <w:tcW w:type="dxa" w:w="2000"/>
          </w:tcPr>
          <w:p>
            <w:pPr>
              <w:bidi/>
            </w:pPr>
            <w:r>
              <w:rPr>
                <w:color w:val="1B2536"/>
                <w:sz w:val="19"/>
                <w:szCs w:val="19"/>
              </w:rPr>
              <w:t xml:space="preserve">كل التحصيلات بفترة محددة</w:t>
            </w:r>
          </w:p>
        </w:tc>
      </w:tr>
    </w:tbl>
    <w:p>
      <w:pPr>
        <w:pStyle w:val="Heading1"/>
        <w:spacing w:after="150" w:before="320"/>
      </w:pPr>
      <w:r>
        <w:t xml:space="preserve">٢. القواعد المعتمدة (تُطبَّق عبر كل التبويبات)</w:t>
      </w:r>
    </w:p>
    <w:p>
      <w:pPr>
        <w:pStyle w:val="Heading2"/>
        <w:spacing w:after="120" w:before="240"/>
      </w:pPr>
      <w:r>
        <w:t xml:space="preserve">٢.١ قاعدة تاريخ الاستحقاق</w:t>
      </w:r>
    </w:p>
    <w:p>
      <w:pPr>
        <w:pStyle w:val="ListParagraph"/>
        <w:numPr>
          <w:ilvl w:val="0"/>
          <w:numId w:val="1"/>
        </w:numPr>
        <w:bidi/>
        <w:spacing w:after="70"/>
      </w:pPr>
      <w:r>
        <w:t xml:space="preserve">مهلة ≥ 30 يوماً: الاستحقاق = نهاية شهر البيع + عدد الأشهر الكاملة (ExtraDays ÷ 30 بالقسمة الصحيحة) + الأيام المتبقية من القسمة تُضاف فوق ذلك. مثال: 45 يوماً = شهر كامل + 15 يوماً متبقية.</w:t>
      </w:r>
    </w:p>
    <w:p>
      <w:pPr>
        <w:pStyle w:val="ListParagraph"/>
        <w:numPr>
          <w:ilvl w:val="0"/>
          <w:numId w:val="1"/>
        </w:numPr>
        <w:bidi/>
        <w:spacing w:after="70"/>
      </w:pPr>
      <w:r>
        <w:t xml:space="preserve">مهلة &lt; 30 يوماً: الاستحقاق = تاريخ الفاتورة + عدد أيام المهلة مباشرة.</w:t>
      </w:r>
    </w:p>
    <w:p>
      <w:pPr>
        <w:pStyle w:val="Heading2"/>
        <w:spacing w:after="120" w:before="240"/>
      </w:pPr>
      <w:r>
        <w:t xml:space="preserve">٢.٢ خوارزمية الاستهلاك التنازلي (Waterfall)</w:t>
      </w:r>
    </w:p>
    <w:p>
      <w:pPr>
        <w:pStyle w:val="ListParagraph"/>
        <w:numPr>
          <w:ilvl w:val="0"/>
          <w:numId w:val="1"/>
        </w:numPr>
        <w:bidi/>
        <w:spacing w:after="70"/>
      </w:pPr>
      <w:r>
        <w:t xml:space="preserve">يُستهلك رصيد العميل من الشهر الأحدث رجوعاً للأقدم حتى تتم تغطيته بالكامل من صافي المبيعات الشهرية (شامل الضريبة، بعد خصم المرتجعات).</w:t>
      </w:r>
    </w:p>
    <w:p>
      <w:pPr>
        <w:pStyle w:val="ListParagraph"/>
        <w:numPr>
          <w:ilvl w:val="0"/>
          <w:numId w:val="1"/>
        </w:numPr>
        <w:bidi/>
        <w:spacing w:after="70"/>
      </w:pPr>
      <w:r>
        <w:t xml:space="preserve">الشيكات المؤجلة تُستهلك بعد الرصيد، بترتيب تاريخ استحقاقها (الأقرب أولاً)، مكمّلة من حيث توقف استهلاك الرصيد.</w:t>
      </w:r>
    </w:p>
    <w:p>
      <w:pPr>
        <w:pStyle w:val="ListParagraph"/>
        <w:numPr>
          <w:ilvl w:val="0"/>
          <w:numId w:val="1"/>
        </w:numPr>
        <w:bidi/>
        <w:spacing w:after="70"/>
      </w:pPr>
      <w:r>
        <w:t xml:space="preserve">أشهر صافيها سالب (مرتجعات تفوق المبيعات) تُسجَّل شفافةً كـ«لا استهلاك ممكن» ولا تُحتسب، بدل اختفائها بصمت.</w:t>
      </w:r>
    </w:p>
    <w:p>
      <w:pPr>
        <w:pStyle w:val="Heading2"/>
        <w:spacing w:after="120" w:before="240"/>
      </w:pPr>
      <w:r>
        <w:t xml:space="preserve">٢.٣ تسامح التقريب (Rounding Tolerance) — 50 دينار</w:t>
      </w:r>
    </w:p>
    <w:p>
      <w:pPr>
        <w:bidi/>
        <w:spacing w:after="110"/>
      </w:pPr>
      <w:r>
        <w:t xml:space="preserve">عند استهلاك الأشهر، أي باقٍ ≤ 50 ديناراً بعد تغطية شهر معيّن يُعتبر فرق تقريب (عمولات بنكية، فروق صرف) ولا يُطارَد لشهر إضافي. هذا يمنع فروقاً تافهة (كسنتات) من قفز الحساب لأشهر أقدم بالخطأ.</w:t>
      </w:r>
    </w:p>
    <w:p>
      <w:pPr>
        <w:pStyle w:val="Heading2"/>
        <w:spacing w:after="120" w:before="240"/>
      </w:pPr>
      <w:r>
        <w:t xml:space="preserve">٢.٤ حد المادية (Materiality) — 50 دينار</w:t>
      </w:r>
    </w:p>
    <w:p>
      <w:pPr>
        <w:pStyle w:val="ListParagraph"/>
        <w:numPr>
          <w:ilvl w:val="0"/>
          <w:numId w:val="1"/>
        </w:numPr>
        <w:bidi/>
        <w:spacing w:after="70"/>
      </w:pPr>
      <w:r>
        <w:t xml:space="preserve">رصيد نهائي متبقٍ ≤ 50 د.أ، حتى لو متأخر بالتاريخ، يُصنَّف «غير مؤثر مادياً» لا «متأخر».</w:t>
      </w:r>
    </w:p>
    <w:p>
      <w:pPr>
        <w:pStyle w:val="ListParagraph"/>
        <w:numPr>
          <w:ilvl w:val="0"/>
          <w:numId w:val="1"/>
        </w:numPr>
        <w:bidi/>
        <w:spacing w:after="70"/>
      </w:pPr>
      <w:r>
        <w:t xml:space="preserve">بتبويب التحصيل اليومي: العبرة بالرصيد قبل التحصيل أو الباقي بعد التحصيل (أيهما أصغر يحدد الإعفاء)، وليس بحجم الدفعة نفسها.</w:t>
      </w:r>
    </w:p>
    <w:p>
      <w:pPr>
        <w:pStyle w:val="Heading2"/>
        <w:spacing w:after="120" w:before="240"/>
      </w:pPr>
      <w:r>
        <w:t xml:space="preserve">٢.٥ سماحية الأيام (Grace Period) — 5 أيام، مشروطة بالمادية</w:t>
      </w:r>
    </w:p>
    <w:p>
      <w:pPr>
        <w:pStyle w:val="ListParagraph"/>
        <w:numPr>
          <w:ilvl w:val="0"/>
          <w:numId w:val="1"/>
        </w:numPr>
        <w:bidi/>
        <w:spacing w:after="70"/>
      </w:pPr>
      <w:r>
        <w:t xml:space="preserve">تنطبق فقط على مبالغ ≤ 50 د.أ (المبلغ الصغير أصلاً). أي تأخير حتى 5 أيام لمبلغ صغير = «ضمن السماحية» لا مخالفة.</w:t>
      </w:r>
    </w:p>
    <w:p>
      <w:pPr>
        <w:pStyle w:val="ListParagraph"/>
        <w:numPr>
          <w:ilvl w:val="0"/>
          <w:numId w:val="1"/>
        </w:numPr>
        <w:bidi/>
        <w:spacing w:after="70"/>
      </w:pPr>
      <w:r>
        <w:t xml:space="preserve">أي مبلغ &gt; 50 د.أ مع أي تأخير موجب (ولو يوماً واحداً) = مخالفة مباشرة؛ سماحية الأيام لا تُطبَّق على المبالغ المؤثرة.</w:t>
      </w:r>
    </w:p>
    <w:p>
      <w:pPr>
        <w:pStyle w:val="Heading2"/>
        <w:spacing w:after="120" w:before="240"/>
      </w:pPr>
      <w:r>
        <w:t xml:space="preserve">٢.٦ معالجة معاملات نفس اليوم</w:t>
      </w:r>
    </w:p>
    <w:p>
      <w:pPr>
        <w:bidi/>
        <w:spacing w:after="110"/>
      </w:pPr>
      <w:r>
        <w:t xml:space="preserve">عند حساب رصيد العميل «قبل» مستند معيّن (فاتورة أو تحصيل)، يُستثنى فقط قيد ذلك المستند نفسه (عبر TransId)، بينما تُحتسب كل الحركات الأخرى المسجّلة بنفس التاريخ (وليس فقط ما قبله بيوم كامل). هذا يمنع تجاهل دفعات جزئية حدثت بنفس يوم الفاتورة.</w:t>
      </w:r>
    </w:p>
    <w:p>
      <w:pPr>
        <w:pStyle w:val="Heading1"/>
        <w:spacing w:after="150" w:before="320"/>
      </w:pPr>
      <w:r>
        <w:t xml:space="preserve">٣. الكويريات — دليل الاستخدام</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400"/>
        <w:gridCol w:w="1900"/>
        <w:gridCol w:w="2300"/>
      </w:tblGrid>
      <w:tr>
        <w:tc>
          <w:tcPr>
            <w:tcW w:type="dxa" w:w="700"/>
            <w:shd w:fill="152A4A" w:val="clear"/>
          </w:tcPr>
          <w:p>
            <w:pPr>
              <w:bidi/>
            </w:pPr>
            <w:r>
              <w:rPr>
                <w:b/>
                <w:bCs/>
                <w:color w:val="FFFFFF"/>
                <w:sz w:val="19"/>
                <w:szCs w:val="19"/>
              </w:rPr>
              <w:t xml:space="preserve">#</w:t>
            </w:r>
          </w:p>
        </w:tc>
        <w:tc>
          <w:tcPr>
            <w:tcW w:type="dxa" w:w="2400"/>
            <w:shd w:fill="152A4A" w:val="clear"/>
          </w:tcPr>
          <w:p>
            <w:pPr>
              <w:bidi/>
            </w:pPr>
            <w:r>
              <w:rPr>
                <w:b/>
                <w:bCs/>
                <w:color w:val="FFFFFF"/>
                <w:sz w:val="19"/>
                <w:szCs w:val="19"/>
              </w:rPr>
              <w:t xml:space="preserve">الاسم</w:t>
            </w:r>
          </w:p>
        </w:tc>
        <w:tc>
          <w:tcPr>
            <w:tcW w:type="dxa" w:w="2400"/>
            <w:shd w:fill="152A4A" w:val="clear"/>
          </w:tcPr>
          <w:p>
            <w:pPr>
              <w:bidi/>
            </w:pPr>
            <w:r>
              <w:rPr>
                <w:b/>
                <w:bCs/>
                <w:color w:val="FFFFFF"/>
                <w:sz w:val="19"/>
                <w:szCs w:val="19"/>
              </w:rPr>
              <w:t xml:space="preserve">المصدر</w:t>
            </w:r>
          </w:p>
        </w:tc>
        <w:tc>
          <w:tcPr>
            <w:tcW w:type="dxa" w:w="1900"/>
            <w:shd w:fill="152A4A" w:val="clear"/>
          </w:tcPr>
          <w:p>
            <w:pPr>
              <w:bidi/>
            </w:pPr>
            <w:r>
              <w:rPr>
                <w:b/>
                <w:bCs/>
                <w:color w:val="FFFFFF"/>
                <w:sz w:val="19"/>
                <w:szCs w:val="19"/>
              </w:rPr>
              <w:t xml:space="preserve">التواريخ</w:t>
            </w:r>
          </w:p>
        </w:tc>
        <w:tc>
          <w:tcPr>
            <w:tcW w:type="dxa" w:w="2300"/>
            <w:shd w:fill="152A4A" w:val="clear"/>
          </w:tcPr>
          <w:p>
            <w:pPr>
              <w:bidi/>
            </w:pPr>
            <w:r>
              <w:rPr>
                <w:b/>
                <w:bCs/>
                <w:color w:val="FFFFFF"/>
                <w:sz w:val="19"/>
                <w:szCs w:val="19"/>
              </w:rPr>
              <w:t xml:space="preserve">التبويب</w:t>
            </w:r>
          </w:p>
        </w:tc>
      </w:tr>
      <w:tr>
        <w:tc>
          <w:tcPr>
            <w:tcW w:type="dxa" w:w="700"/>
          </w:tcPr>
          <w:p>
            <w:pPr>
              <w:bidi/>
            </w:pPr>
            <w:r>
              <w:rPr>
                <w:color w:val="1B2536"/>
                <w:sz w:val="19"/>
                <w:szCs w:val="19"/>
              </w:rPr>
              <w:t xml:space="preserve">١</w:t>
            </w:r>
          </w:p>
        </w:tc>
        <w:tc>
          <w:tcPr>
            <w:tcW w:type="dxa" w:w="2400"/>
          </w:tcPr>
          <w:p>
            <w:pPr>
              <w:bidi/>
            </w:pPr>
            <w:r>
              <w:rPr>
                <w:color w:val="1B2536"/>
                <w:sz w:val="19"/>
                <w:szCs w:val="19"/>
              </w:rPr>
              <w:t xml:space="preserve">الفواتير الأساسي</w:t>
            </w:r>
          </w:p>
        </w:tc>
        <w:tc>
          <w:tcPr>
            <w:tcW w:type="dxa" w:w="2400"/>
          </w:tcPr>
          <w:p>
            <w:pPr>
              <w:bidi/>
            </w:pPr>
            <w:r>
              <w:rPr>
                <w:color w:val="1B2536"/>
                <w:sz w:val="19"/>
                <w:szCs w:val="19"/>
              </w:rPr>
              <w:t xml:space="preserve">OWDD, OINV, JDT1</w:t>
            </w:r>
          </w:p>
        </w:tc>
        <w:tc>
          <w:tcPr>
            <w:tcW w:type="dxa" w:w="1900"/>
          </w:tcPr>
          <w:p>
            <w:pPr>
              <w:bidi/>
            </w:pPr>
            <w:r>
              <w:rPr>
                <w:color w:val="1B2536"/>
                <w:sz w:val="19"/>
                <w:szCs w:val="19"/>
              </w:rPr>
              <w:t xml:space="preserve">مدى قصير (يوم)</w:t>
            </w:r>
          </w:p>
        </w:tc>
        <w:tc>
          <w:tcPr>
            <w:tcW w:type="dxa" w:w="2300"/>
          </w:tcPr>
          <w:p>
            <w:pPr>
              <w:bidi/>
            </w:pPr>
            <w:r>
              <w:rPr>
                <w:color w:val="1B2536"/>
                <w:sz w:val="19"/>
                <w:szCs w:val="19"/>
              </w:rPr>
              <w:t xml:space="preserve">مراجعة الموافقات</w:t>
            </w:r>
          </w:p>
        </w:tc>
      </w:tr>
      <w:tr>
        <w:tc>
          <w:tcPr>
            <w:tcW w:type="dxa" w:w="700"/>
          </w:tcPr>
          <w:p>
            <w:pPr>
              <w:bidi/>
            </w:pPr>
            <w:r>
              <w:rPr>
                <w:color w:val="1B2536"/>
                <w:sz w:val="19"/>
                <w:szCs w:val="19"/>
              </w:rPr>
              <w:t xml:space="preserve">٢</w:t>
            </w:r>
          </w:p>
        </w:tc>
        <w:tc>
          <w:tcPr>
            <w:tcW w:type="dxa" w:w="2400"/>
          </w:tcPr>
          <w:p>
            <w:pPr>
              <w:bidi/>
            </w:pPr>
            <w:r>
              <w:rPr>
                <w:color w:val="1B2536"/>
                <w:sz w:val="19"/>
                <w:szCs w:val="19"/>
              </w:rPr>
              <w:t xml:space="preserve">الشيكات التفصيلي</w:t>
            </w:r>
          </w:p>
        </w:tc>
        <w:tc>
          <w:tcPr>
            <w:tcW w:type="dxa" w:w="2400"/>
          </w:tcPr>
          <w:p>
            <w:pPr>
              <w:bidi/>
            </w:pPr>
            <w:r>
              <w:rPr>
                <w:color w:val="1B2536"/>
                <w:sz w:val="19"/>
                <w:szCs w:val="19"/>
              </w:rPr>
              <w:t xml:space="preserve">RCT1, ORCT</w:t>
            </w:r>
          </w:p>
        </w:tc>
        <w:tc>
          <w:tcPr>
            <w:tcW w:type="dxa" w:w="1900"/>
          </w:tcPr>
          <w:p>
            <w:pPr>
              <w:bidi/>
            </w:pPr>
            <w:r>
              <w:rPr>
                <w:color w:val="1B2536"/>
                <w:sz w:val="19"/>
                <w:szCs w:val="19"/>
              </w:rPr>
              <w:t xml:space="preserve">بدون تواريخ</w:t>
            </w:r>
          </w:p>
        </w:tc>
        <w:tc>
          <w:tcPr>
            <w:tcW w:type="dxa" w:w="2300"/>
          </w:tcPr>
          <w:p>
            <w:pPr>
              <w:bidi/>
            </w:pPr>
            <w:r>
              <w:rPr>
                <w:color w:val="1B2536"/>
                <w:sz w:val="19"/>
                <w:szCs w:val="19"/>
              </w:rPr>
              <w:t xml:space="preserve">موافقات + عمر ذمة</w:t>
            </w:r>
          </w:p>
        </w:tc>
      </w:tr>
      <w:tr>
        <w:tc>
          <w:tcPr>
            <w:tcW w:type="dxa" w:w="700"/>
          </w:tcPr>
          <w:p>
            <w:pPr>
              <w:bidi/>
            </w:pPr>
            <w:r>
              <w:rPr>
                <w:color w:val="1B2536"/>
                <w:sz w:val="19"/>
                <w:szCs w:val="19"/>
              </w:rPr>
              <w:t xml:space="preserve">٣</w:t>
            </w:r>
          </w:p>
        </w:tc>
        <w:tc>
          <w:tcPr>
            <w:tcW w:type="dxa" w:w="2400"/>
          </w:tcPr>
          <w:p>
            <w:pPr>
              <w:bidi/>
            </w:pPr>
            <w:r>
              <w:rPr>
                <w:color w:val="1B2536"/>
                <w:sz w:val="19"/>
                <w:szCs w:val="19"/>
              </w:rPr>
              <w:t xml:space="preserve">كل الفواتير (بديل ١)</w:t>
            </w:r>
          </w:p>
        </w:tc>
        <w:tc>
          <w:tcPr>
            <w:tcW w:type="dxa" w:w="2400"/>
          </w:tcPr>
          <w:p>
            <w:pPr>
              <w:bidi/>
            </w:pPr>
            <w:r>
              <w:rPr>
                <w:color w:val="1B2536"/>
                <w:sz w:val="19"/>
                <w:szCs w:val="19"/>
              </w:rPr>
              <w:t xml:space="preserve">OINV, OWDD</w:t>
            </w:r>
          </w:p>
        </w:tc>
        <w:tc>
          <w:tcPr>
            <w:tcW w:type="dxa" w:w="1900"/>
          </w:tcPr>
          <w:p>
            <w:pPr>
              <w:bidi/>
            </w:pPr>
            <w:r>
              <w:rPr>
                <w:color w:val="1B2536"/>
                <w:sz w:val="19"/>
                <w:szCs w:val="19"/>
              </w:rPr>
              <w:t xml:space="preserve">مدى قصير</w:t>
            </w:r>
          </w:p>
        </w:tc>
        <w:tc>
          <w:tcPr>
            <w:tcW w:type="dxa" w:w="2300"/>
          </w:tcPr>
          <w:p>
            <w:pPr>
              <w:bidi/>
            </w:pPr>
            <w:r>
              <w:rPr>
                <w:color w:val="1B2536"/>
                <w:sz w:val="19"/>
                <w:szCs w:val="19"/>
              </w:rPr>
              <w:t xml:space="preserve">مراجعة الموافقات</w:t>
            </w:r>
          </w:p>
        </w:tc>
      </w:tr>
      <w:tr>
        <w:tc>
          <w:tcPr>
            <w:tcW w:type="dxa" w:w="700"/>
          </w:tcPr>
          <w:p>
            <w:pPr>
              <w:bidi/>
            </w:pPr>
            <w:r>
              <w:rPr>
                <w:color w:val="1B2536"/>
                <w:sz w:val="19"/>
                <w:szCs w:val="19"/>
              </w:rPr>
              <w:t xml:space="preserve">٨</w:t>
            </w:r>
          </w:p>
        </w:tc>
        <w:tc>
          <w:tcPr>
            <w:tcW w:type="dxa" w:w="2400"/>
          </w:tcPr>
          <w:p>
            <w:pPr>
              <w:bidi/>
            </w:pPr>
            <w:r>
              <w:rPr>
                <w:color w:val="1B2536"/>
                <w:sz w:val="19"/>
                <w:szCs w:val="19"/>
              </w:rPr>
              <w:t xml:space="preserve">عمر الذمة المبسّط</w:t>
            </w:r>
          </w:p>
        </w:tc>
        <w:tc>
          <w:tcPr>
            <w:tcW w:type="dxa" w:w="2400"/>
          </w:tcPr>
          <w:p>
            <w:pPr>
              <w:bidi/>
            </w:pPr>
            <w:r>
              <w:rPr>
                <w:color w:val="1B2536"/>
                <w:sz w:val="19"/>
                <w:szCs w:val="19"/>
              </w:rPr>
              <w:t xml:space="preserve">OCRD, JDT1, OINV</w:t>
            </w:r>
          </w:p>
        </w:tc>
        <w:tc>
          <w:tcPr>
            <w:tcW w:type="dxa" w:w="1900"/>
          </w:tcPr>
          <w:p>
            <w:pPr>
              <w:bidi/>
            </w:pPr>
            <w:r>
              <w:rPr>
                <w:color w:val="1B2536"/>
                <w:sz w:val="19"/>
                <w:szCs w:val="19"/>
              </w:rPr>
              <w:t xml:space="preserve">لقطة واحدة</w:t>
            </w:r>
          </w:p>
        </w:tc>
        <w:tc>
          <w:tcPr>
            <w:tcW w:type="dxa" w:w="2300"/>
          </w:tcPr>
          <w:p>
            <w:pPr>
              <w:bidi/>
            </w:pPr>
            <w:r>
              <w:rPr>
                <w:color w:val="1B2536"/>
                <w:sz w:val="19"/>
                <w:szCs w:val="19"/>
              </w:rPr>
              <w:t xml:space="preserve">عمر الذمة الحالي</w:t>
            </w:r>
          </w:p>
        </w:tc>
      </w:tr>
      <w:tr>
        <w:tc>
          <w:tcPr>
            <w:tcW w:type="dxa" w:w="700"/>
          </w:tcPr>
          <w:p>
            <w:pPr>
              <w:bidi/>
            </w:pPr>
            <w:r>
              <w:rPr>
                <w:color w:val="1B2536"/>
                <w:sz w:val="19"/>
                <w:szCs w:val="19"/>
              </w:rPr>
              <w:t xml:space="preserve">٩</w:t>
            </w:r>
          </w:p>
        </w:tc>
        <w:tc>
          <w:tcPr>
            <w:tcW w:type="dxa" w:w="2400"/>
          </w:tcPr>
          <w:p>
            <w:pPr>
              <w:bidi/>
            </w:pPr>
            <w:r>
              <w:rPr>
                <w:color w:val="1B2536"/>
                <w:sz w:val="19"/>
                <w:szCs w:val="19"/>
              </w:rPr>
              <w:t xml:space="preserve">تحقق دقيق لعميل واحد</w:t>
            </w:r>
          </w:p>
        </w:tc>
        <w:tc>
          <w:tcPr>
            <w:tcW w:type="dxa" w:w="2400"/>
          </w:tcPr>
          <w:p>
            <w:pPr>
              <w:bidi/>
            </w:pPr>
            <w:r>
              <w:rPr>
                <w:color w:val="1B2536"/>
                <w:sz w:val="19"/>
                <w:szCs w:val="19"/>
              </w:rPr>
              <w:t xml:space="preserve">JDT1 (متقدّم)</w:t>
            </w:r>
          </w:p>
        </w:tc>
        <w:tc>
          <w:tcPr>
            <w:tcW w:type="dxa" w:w="1900"/>
          </w:tcPr>
          <w:p>
            <w:pPr>
              <w:bidi/>
            </w:pPr>
            <w:r>
              <w:rPr>
                <w:color w:val="1B2536"/>
                <w:sz w:val="19"/>
                <w:szCs w:val="19"/>
              </w:rPr>
              <w:t xml:space="preserve">مدى واسع</w:t>
            </w:r>
          </w:p>
        </w:tc>
        <w:tc>
          <w:tcPr>
            <w:tcW w:type="dxa" w:w="2300"/>
          </w:tcPr>
          <w:p>
            <w:pPr>
              <w:bidi/>
            </w:pPr>
            <w:r>
              <w:rPr>
                <w:color w:val="1B2536"/>
                <w:sz w:val="19"/>
                <w:szCs w:val="19"/>
              </w:rPr>
              <w:t xml:space="preserve">فحص عميل واحد</w:t>
            </w:r>
          </w:p>
        </w:tc>
      </w:tr>
      <w:tr>
        <w:tc>
          <w:tcPr>
            <w:tcW w:type="dxa" w:w="700"/>
          </w:tcPr>
          <w:p>
            <w:pPr>
              <w:bidi/>
            </w:pPr>
            <w:r>
              <w:rPr>
                <w:color w:val="1B2536"/>
                <w:sz w:val="19"/>
                <w:szCs w:val="19"/>
              </w:rPr>
              <w:t xml:space="preserve">١٠</w:t>
            </w:r>
          </w:p>
        </w:tc>
        <w:tc>
          <w:tcPr>
            <w:tcW w:type="dxa" w:w="2400"/>
          </w:tcPr>
          <w:p>
            <w:pPr>
              <w:bidi/>
            </w:pPr>
            <w:r>
              <w:rPr>
                <w:color w:val="1B2536"/>
                <w:sz w:val="19"/>
                <w:szCs w:val="19"/>
              </w:rPr>
              <w:t xml:space="preserve">التحصيل اليومي</w:t>
            </w:r>
          </w:p>
        </w:tc>
        <w:tc>
          <w:tcPr>
            <w:tcW w:type="dxa" w:w="2400"/>
          </w:tcPr>
          <w:p>
            <w:pPr>
              <w:bidi/>
            </w:pPr>
            <w:r>
              <w:rPr>
                <w:color w:val="1B2536"/>
                <w:sz w:val="19"/>
                <w:szCs w:val="19"/>
              </w:rPr>
              <w:t xml:space="preserve">JDT1</w:t>
            </w:r>
          </w:p>
        </w:tc>
        <w:tc>
          <w:tcPr>
            <w:tcW w:type="dxa" w:w="1900"/>
          </w:tcPr>
          <w:p>
            <w:pPr>
              <w:bidi/>
            </w:pPr>
            <w:r>
              <w:rPr>
                <w:color w:val="1B2536"/>
                <w:sz w:val="19"/>
                <w:szCs w:val="19"/>
              </w:rPr>
              <w:t xml:space="preserve">فترة التحصيل</w:t>
            </w:r>
          </w:p>
        </w:tc>
        <w:tc>
          <w:tcPr>
            <w:tcW w:type="dxa" w:w="2300"/>
          </w:tcPr>
          <w:p>
            <w:pPr>
              <w:bidi/>
            </w:pPr>
            <w:r>
              <w:rPr>
                <w:color w:val="1B2536"/>
                <w:sz w:val="19"/>
                <w:szCs w:val="19"/>
              </w:rPr>
              <w:t xml:space="preserve">التحصيل اليومي</w:t>
            </w:r>
          </w:p>
        </w:tc>
      </w:tr>
      <w:tr>
        <w:tc>
          <w:tcPr>
            <w:tcW w:type="dxa" w:w="700"/>
          </w:tcPr>
          <w:p>
            <w:pPr>
              <w:bidi/>
            </w:pPr>
            <w:r>
              <w:rPr>
                <w:color w:val="1B2536"/>
                <w:sz w:val="19"/>
                <w:szCs w:val="19"/>
              </w:rPr>
              <w:t xml:space="preserve">—</w:t>
            </w:r>
          </w:p>
        </w:tc>
        <w:tc>
          <w:tcPr>
            <w:tcW w:type="dxa" w:w="2400"/>
          </w:tcPr>
          <w:p>
            <w:pPr>
              <w:bidi/>
            </w:pPr>
            <w:r>
              <w:rPr>
                <w:color w:val="1B2536"/>
                <w:sz w:val="19"/>
                <w:szCs w:val="19"/>
              </w:rPr>
              <w:t xml:space="preserve">تحقق إجمالي الرصيد</w:t>
            </w:r>
          </w:p>
        </w:tc>
        <w:tc>
          <w:tcPr>
            <w:tcW w:type="dxa" w:w="2400"/>
          </w:tcPr>
          <w:p>
            <w:pPr>
              <w:bidi/>
            </w:pPr>
            <w:r>
              <w:rPr>
                <w:color w:val="1B2536"/>
                <w:sz w:val="19"/>
                <w:szCs w:val="19"/>
              </w:rPr>
              <w:t xml:space="preserve">JDT1</w:t>
            </w:r>
          </w:p>
        </w:tc>
        <w:tc>
          <w:tcPr>
            <w:tcW w:type="dxa" w:w="1900"/>
          </w:tcPr>
          <w:p>
            <w:pPr>
              <w:bidi/>
            </w:pPr>
            <w:r>
              <w:rPr>
                <w:color w:val="1B2536"/>
                <w:sz w:val="19"/>
                <w:szCs w:val="19"/>
              </w:rPr>
              <w:t xml:space="preserve">بدون تواريخ</w:t>
            </w:r>
          </w:p>
        </w:tc>
        <w:tc>
          <w:tcPr>
            <w:tcW w:type="dxa" w:w="2300"/>
          </w:tcPr>
          <w:p>
            <w:pPr>
              <w:bidi/>
            </w:pPr>
            <w:r>
              <w:rPr>
                <w:color w:val="1B2536"/>
                <w:sz w:val="19"/>
                <w:szCs w:val="19"/>
              </w:rPr>
              <w:t xml:space="preserve">أي تبويب</w:t>
            </w:r>
          </w:p>
        </w:tc>
      </w:tr>
    </w:tbl>
    <w:p>
      <w:pPr>
        <w:pStyle w:val="Heading2"/>
        <w:spacing w:after="120" w:before="240"/>
      </w:pPr>
      <w:r>
        <w:t xml:space="preserve">٣.١ كويري ١ — الفواتير الأساسي</w:t>
      </w:r>
    </w:p>
    <w:p>
      <w:pPr>
        <w:bidi/>
        <w:spacing w:after="110"/>
      </w:pPr>
      <w:r>
        <w:t xml:space="preserve">يجيب كل فاتورة راحت لإجراء الموافقة بسبب عمر الذمة (WtmCode=14 «Aging Overdue2»)، مع رصيدها قبل الفاتورة (شامل كل حركات نفس اليوم عدا الفاتورة نفسها)، السقف الائتماني، المهلة، وصافي مبيعات ١٢ شهراً سابقاً.</w:t>
      </w:r>
    </w:p>
    <w:p>
      <w:pPr>
        <w:pStyle w:val="Heading2"/>
        <w:spacing w:after="120" w:before="240"/>
      </w:pPr>
      <w:r>
        <w:t xml:space="preserve">٣.٢ كويري ٢ — الشيكات التفصيلي</w:t>
      </w:r>
    </w:p>
    <w:p>
      <w:pPr>
        <w:bidi/>
        <w:spacing w:after="110"/>
      </w:pPr>
      <w:r>
        <w:t xml:space="preserve">قائمة كل شيك مؤجل (رمز العميل، رقم السند، تاريخ التسجيل، تاريخ الاستحقاق، القيمة، البنك) — يُستخدم لتقييم حالة الشيكات بدقة منفصلة عن الرصيد.</w:t>
      </w:r>
    </w:p>
    <w:p>
      <w:pPr>
        <w:pStyle w:val="Heading2"/>
        <w:spacing w:after="120" w:before="240"/>
      </w:pPr>
      <w:r>
        <w:t xml:space="preserve">٣.٣ كويري ٣ — كل الفواتير بغض النظر عن الموافقة</w:t>
      </w:r>
    </w:p>
    <w:p>
      <w:pPr>
        <w:bidi/>
        <w:spacing w:after="110"/>
      </w:pPr>
      <w:r>
        <w:t xml:space="preserve">يفحص كل فاتورة بفترة معينة، سواء ذهبت لإجراء الموافقة أم لا — يكشف الثغرات: فواتير مخالفة فعلياً لكنها لم تُحوَّل للموافقة أصلاً (خلل محتمل بمسار SAP).</w:t>
      </w:r>
    </w:p>
    <w:p>
      <w:pPr>
        <w:pStyle w:val="Heading2"/>
        <w:spacing w:after="120" w:before="240"/>
      </w:pPr>
      <w:r>
        <w:t xml:space="preserve">٣.٤ كويري ٨ — عمر الذمة المبسّط والموثوق</w:t>
      </w:r>
    </w:p>
    <w:p>
      <w:pPr>
        <w:bidi/>
        <w:spacing w:after="110"/>
      </w:pPr>
      <w:r>
        <w:t xml:space="preserve">لكل عميل نشط: الرصيد الحالي (مباشرة من دفتر الأستاذ JDT1، مصدر موثوق مُتحقَّق منه رياضياً)، المندوب، السقف، المهلة، ورقم الهاتف/الإيميل (لتفعيل رسائل التذكير).</w:t>
      </w:r>
    </w:p>
    <w:p>
      <w:pPr>
        <w:pStyle w:val="Heading2"/>
        <w:spacing w:after="120" w:before="240"/>
      </w:pPr>
      <w:r>
        <w:t xml:space="preserve">٣.٥ كويري ٩ — تحقق دقيق لعميل واحد</w:t>
      </w:r>
    </w:p>
    <w:p>
      <w:pPr>
        <w:bidi/>
        <w:spacing w:after="110"/>
      </w:pPr>
      <w:r>
        <w:t xml:space="preserve">يستخدم تقنية الفترات التراكمية المتداخلة (Cumulative Overlap Intervals) لمطابقة كل حركة تسديد (قبض/شيك/قيد يدوي) بالشهر الذي سدّدته فعلياً، بترتيب زمني حقيقي (FIFO) يأخذ القيود اليدوية بعين الاعتبار. يتطلب تعديل رمز العميل يدوياً بمكانين داخل الكويري.</w:t>
      </w:r>
    </w:p>
    <w:p>
      <w:pPr>
        <w:pStyle w:val="ListParagraph"/>
        <w:numPr>
          <w:ilvl w:val="0"/>
          <w:numId w:val="1"/>
        </w:numPr>
        <w:bidi/>
        <w:spacing w:after="70"/>
      </w:pPr>
      <w:r>
        <w:t xml:space="preserve">⚠️ ملاحظة أداء: هذا الكويري ثقيل حسابياً (Window Functions على كامل تاريخ العميل)، ولم يثبت استقراره عند التعميم على كل العملاء دفعة واحدة بسبب معاملات الارتداد/الإلغاء — لذلك يُستخدم لعميل واحد فقط عند الحاجة لتحقيق دقيق.</w:t>
      </w:r>
    </w:p>
    <w:p>
      <w:pPr>
        <w:pStyle w:val="Heading2"/>
        <w:spacing w:after="120" w:before="240"/>
      </w:pPr>
      <w:r>
        <w:t xml:space="preserve">٣.٦ كويري ١٠ — التحصيل اليومي</w:t>
      </w:r>
    </w:p>
    <w:p>
      <w:pPr>
        <w:bidi/>
        <w:spacing w:after="110"/>
      </w:pPr>
      <w:r>
        <w:t xml:space="preserve">لكل تحصيل (قبض نقدي أو شيك) بفترة معينة: الرصيد قبل هذا التحصيل تحديداً، وصافي مبيعات ١٢ شهراً سابقة — لتحديد هل انسدد حسب التعريف، متأخراً، أم مبكراً.</w:t>
      </w:r>
    </w:p>
    <w:p>
      <w:pPr>
        <w:pStyle w:val="Heading1"/>
        <w:spacing w:after="150" w:before="320"/>
      </w:pPr>
      <w:r>
        <w:t xml:space="preserve">٤. الميزات الإضافية</w:t>
      </w:r>
    </w:p>
    <w:p>
      <w:pPr>
        <w:pStyle w:val="ListParagraph"/>
        <w:numPr>
          <w:ilvl w:val="0"/>
          <w:numId w:val="1"/>
        </w:numPr>
        <w:bidi/>
        <w:spacing w:after="70"/>
      </w:pPr>
      <w:r>
        <w:t xml:space="preserve">فرز بالضغط على أي عمود بأي جدول (تصاعدي/تنازلي مع سهم يوضح الاتجاه).</w:t>
      </w:r>
    </w:p>
    <w:p>
      <w:pPr>
        <w:pStyle w:val="ListParagraph"/>
        <w:numPr>
          <w:ilvl w:val="0"/>
          <w:numId w:val="1"/>
        </w:numPr>
        <w:bidi/>
        <w:spacing w:after="70"/>
      </w:pPr>
      <w:r>
        <w:t xml:space="preserve">توسيع الصفوف بالضغط لعرض تفاصيل الأشهر أو الحركات.</w:t>
      </w:r>
    </w:p>
    <w:p>
      <w:pPr>
        <w:pStyle w:val="ListParagraph"/>
        <w:numPr>
          <w:ilvl w:val="0"/>
          <w:numId w:val="1"/>
        </w:numPr>
        <w:bidi/>
        <w:spacing w:after="70"/>
      </w:pPr>
      <w:r>
        <w:t xml:space="preserve">طباعة مفلترة أنيقة لكل تبويب — عرض حالة واحدة فقط (متأخر/مبكر/ضمن الفترة...) مع رأس تقرير احترافي (شعار، تاريخ، إحصائيات).</w:t>
      </w:r>
    </w:p>
    <w:p>
      <w:pPr>
        <w:pStyle w:val="ListParagraph"/>
        <w:numPr>
          <w:ilvl w:val="0"/>
          <w:numId w:val="1"/>
        </w:numPr>
        <w:bidi/>
        <w:spacing w:after="70"/>
      </w:pPr>
      <w:r>
        <w:t xml:space="preserve">تقرير مخالفات مختصر جاهز للإرسال (📄) — جدول واحد بكل الفواتير المخالفة مع الأسباب التفصيلية الكاملة، قابل للطباعة أو التصدير CSV منفصل.</w:t>
      </w:r>
    </w:p>
    <w:p>
      <w:pPr>
        <w:pStyle w:val="ListParagraph"/>
        <w:numPr>
          <w:ilvl w:val="0"/>
          <w:numId w:val="1"/>
        </w:numPr>
        <w:bidi/>
        <w:spacing w:after="70"/>
      </w:pPr>
      <w:r>
        <w:t xml:space="preserve">رسائل تذكير تجريبية — تولّد نصوص تذكير جاهزة للعملاء المتأخرين، تُرسَل بدايةً لمراجعة داخلية من 5 مدراء مسجَّلين، لا للعملاء مباشرة.</w:t>
      </w:r>
    </w:p>
    <w:p>
      <w:pPr>
        <w:pStyle w:val="ListParagraph"/>
        <w:numPr>
          <w:ilvl w:val="0"/>
          <w:numId w:val="1"/>
        </w:numPr>
        <w:bidi/>
        <w:spacing w:after="70"/>
      </w:pPr>
      <w:r>
        <w:t xml:space="preserve">نسخة احتياطية شاملة (💾) — تصدير/استيراد كل البيانات الملصوقة بالأربع تبويبات كملف JSON واحد، مع إعادة التحليل التلقائي عند الاسترجاع.</w:t>
      </w:r>
    </w:p>
    <w:p>
      <w:pPr>
        <w:pStyle w:val="ListParagraph"/>
        <w:numPr>
          <w:ilvl w:val="0"/>
          <w:numId w:val="1"/>
        </w:numPr>
        <w:bidi/>
        <w:spacing w:after="70"/>
      </w:pPr>
      <w:r>
        <w:t xml:space="preserve">إخفاء العملاء/الفواتير التي تمت مراجعتها فعلياً، مع إمكانية إظهارهم لاحقاً.</w:t>
      </w:r>
    </w:p>
    <w:p>
      <w:pPr>
        <w:pStyle w:val="Heading1"/>
        <w:spacing w:after="150" w:before="320"/>
      </w:pPr>
      <w:r>
        <w:t xml:space="preserve">٥. القيود المعروفة</w:t>
      </w:r>
    </w:p>
    <w:p>
      <w:pPr>
        <w:pStyle w:val="ListParagraph"/>
        <w:numPr>
          <w:ilvl w:val="0"/>
          <w:numId w:val="1"/>
        </w:numPr>
        <w:bidi/>
        <w:spacing w:after="70"/>
      </w:pPr>
      <w:r>
        <w:t xml:space="preserve">الحساب يعتمد على أرصدة مجمّعة (Aggregate) لا على مطابقة دقيقة فاتورة↔قبض على مستوى كل عميل بشكل جماعي (باستثناء كويري ٩ لعميل واحد لحاله).</w:t>
      </w:r>
    </w:p>
    <w:p>
      <w:pPr>
        <w:pStyle w:val="ListParagraph"/>
        <w:numPr>
          <w:ilvl w:val="0"/>
          <w:numId w:val="1"/>
        </w:numPr>
        <w:bidi/>
        <w:spacing w:after="70"/>
      </w:pPr>
      <w:r>
        <w:t xml:space="preserve">عملاء المهلة القصيرة (&lt;30 يوماً): الاستحقاق يُقارَب من نهاية الشهر المصدر، لا من تاريخ كل فاتورة تحديداً (دقة أقل نسبياً).</w:t>
      </w:r>
    </w:p>
    <w:p>
      <w:pPr>
        <w:pStyle w:val="ListParagraph"/>
        <w:numPr>
          <w:ilvl w:val="0"/>
          <w:numId w:val="1"/>
        </w:numPr>
        <w:bidi/>
        <w:spacing w:after="70"/>
      </w:pPr>
      <w:r>
        <w:t xml:space="preserve">نطاق الأشهر محدود بـ 12 شهراً + مجموع تراكمي لما هو أقدم؛ حالات تتجاوز هذا النطاق تُعلَّم تلقائياً وتحتاج فحصاً يدوياً إضافياً.</w:t>
      </w:r>
    </w:p>
    <w:p>
      <w:pPr>
        <w:pStyle w:val="ListParagraph"/>
        <w:numPr>
          <w:ilvl w:val="0"/>
          <w:numId w:val="1"/>
        </w:numPr>
        <w:bidi/>
        <w:spacing w:after="70"/>
      </w:pPr>
      <w:r>
        <w:t xml:space="preserve">الأداة تعمل على أساس اللصق اليدوي (لا يوجد اتصال مباشر بقاعدة بيانات SAP من داخل المتصفح).</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2026-08-14T22:31:56.760Z</dcterms:created>
  <dcterms:modified xsi:type="dcterms:W3CDTF">2026-08-14T22:31:56.760Z</dcterms:modified>
</cp:coreProperties>
</file>

<file path=docProps/custom.xml><?xml version="1.0" encoding="utf-8"?>
<Properties xmlns="http://schemas.openxmlformats.org/officeDocument/2006/custom-properties" xmlns:vt="http://schemas.openxmlformats.org/officeDocument/2006/docPropsVTypes"/>
</file>