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Olof Lööv</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Utvecklare</w:t>
            </w:r>
          </w:p>
          <w:p>
            <w:pPr>
              <w:spacing w:before="240"/>
              <w:rPr>
                <w:b w:val="0"/>
                <w:bCs w:val="0"/>
                <w:i w:val="0"/>
                <w:iCs w:val="0"/>
                <w:smallCaps w:val="0"/>
                <w:color w:val="000000"/>
              </w:rPr>
            </w:pPr>
            <w:r>
              <w:rPr>
                <w:b w:val="0"/>
                <w:bCs w:val="0"/>
                <w:i w:val="0"/>
                <w:iCs w:val="0"/>
                <w:smallCaps w:val="0"/>
                <w:color w:val="000000"/>
              </w:rPr>
              <w:t>Team Lead</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Olof har jobbat i över tio år med systemutveckling i olika former, från telekrigssystem på stridsflygplan till brunstkalendrar för mjölkbönder och då i en mängd olika programspråk och teknik-stacker. Har varit teamlead för stora utvecklingsteam men även varit enda utvecklaren för flera projekt.</w:t>
      </w:r>
      <w:r>
        <w:br/>
      </w:r>
      <w:r>
        <w:br/>
      </w:r>
      <w:r>
        <w:t>Han gillar att arbeta agilt där kunden är involverad från start till mål. Arbetar gärna i stora komplexa system där leveranser kommer från olika team.</w:t>
      </w:r>
      <w:r>
        <w:br/>
      </w:r>
      <w:r>
        <w:br/>
      </w:r>
      <w:r>
        <w:t>Olof har ett starkt intresse för systemutveckling och utveckling där nya tekniker används i synnerhet.</w:t>
      </w:r>
      <w:r>
        <w:t xml:space="preserve"> </w:t>
      </w:r>
      <w:r>
        <w:br/>
      </w:r>
      <w:r>
        <w:br/>
      </w:r>
      <w:r>
        <w:rPr>
          <w:b/>
          <w:bCs/>
        </w:rPr>
        <w:t>Egenskaper</w:t>
      </w:r>
    </w:p>
    <w:p>
      <w:pPr>
        <w:spacing w:before="240" w:after="240"/>
      </w:pPr>
      <w:r>
        <w:t xml:space="preserve">Olof är en öppen, lugn och ödmjuk lagspelare som tack vare sin erfarenhet från olika typer av roller och branscher har en god förmåga att få grepp om problemställningar. </w:t>
      </w:r>
      <w:r>
        <w:br/>
      </w:r>
      <w:r>
        <w:br/>
      </w:r>
      <w:r>
        <w:rPr>
          <w:b/>
          <w:bCs/>
        </w:rPr>
        <w:t>Branscherfarenhet</w:t>
      </w:r>
    </w:p>
    <w:p>
      <w:pPr>
        <w:spacing w:before="240" w:after="240"/>
      </w:pP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3000"/>
              <w:gridCol w:w="601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Transportstyrelsen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2022 -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Arbetade som systemutvecklare inom Produktområde Sjö och luft på Transportstyrelsen, där jag ingick i ett agilt leveransteam. Huvudsakliga ansvarsområden var nyutveckling av effektiva, smarta och hållbara lösningar. Använde C#/.NET och MS SQL Server för att implementera och optimera systemfunktioner. Arbetade nära andra utvecklare, scrummaster och produktägare för att gemensamt hitta lösningar som underlättade för verksamheterna. Tog fram och implementerade enhetstester för att säkerställa korrekt funktionalitet och kvalitet i kodbasen. Genomförde automationstester för att effektivisera och automatisera testprocessen samt integrationstester för att testa samspel och korrekthet mellan olika systemkomponenter. Var aktivt involverad i DevOps-processen, där jag bidrog till att integrera utveckling och drift av systemet. Tekniker C#/.NET, Blazor WASM, Azure Devops, SQL, xunit, bunit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Viken Skog SA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Team Lead</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2021 - 2022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Underhåll och nyutveckling av verktyg till skogsinspektorn som används under hela skogens livscykel, från plantering till avverkning. Vidareutvecklade i synnerhet en mobilapplikation med ett helt nytt sätt att kontraktera åtgärder. Refaktoriseringar för moduläritet. Ansvar för kundkontakt, produkt backlogg, sprint planering, uppföljning av burndowns samt retrospektiv. Kommunikation dagligen med kund för att stämma av progress i projekt samt support/felsökning av befintlig funktionalitet. Deltog även i utvecklingen av ett API som tillhandahöll funktionalitet för att hämta information om miljöavvikelser. API:et utvecklades i dotnet, autentisering med amazon cognito. Tekniker Swift, iOS, Amazon AWS, GIS, C#, Team City, Jira</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5"/>
              <w:gridCol w:w="604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Väderstad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Team Lead/Mjukvaruutvecklare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2015 - 2021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Jag var delaktig och drivande i många delar av Väderstads breda teknikstack. Från utveckling och finjusteringar av reglerloopar till att ta fram användarvänliga gränssnitt. Därtill var jag även med och formade arbetssätt för en snabbt växande utvecklingsavdelning. C++, JavaScript, Embedded Linux, Knockout, GoogleTest Loggfilsverktyg Under min tid på Väderstad arbetade jag bland annat med ett verktyg som servicetekniker använder sig av för att bland annat felsöka maskin. Applikationen är en .NET applikation med pluginbaserad arkitektur. Utvecklade bland annat ett plugin som möjliggjorde nedladdning av binär-loggar från maskiner samt parsning av det nedladdade datat. GUI med hjälp av WPF Enhetstester med hjälp av unit test ramverket xUnit. Tekniker .NET, WPF, GeoJSON, KML, Generics, json De såmaskiner som Väderstad utvecklar styrs av lantbrukaren med hjälp av en iPad som i sin tur är kopplad med såmaskinen via en gateway som sitter monterad på maskinen. Jag var under min tid på Väderstad ansvarig för underhåll av iPad-appen. Säkerställde kontinuerligt att appen använder senaste versioner av sina ramverk samt att de APIer som appen använder var i bruk och inte deprekerade. Anslöt appen till ett API som möjliggjorde nedladdning av användarmanualer och instruktionsfilmer. Tekniker Swift, Objective C, json, Azure, Jira</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Växa Sverige</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Mjukvaruutvecklare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Med hjälp av appen Brunstkalendern får mjölkbonden koll på besättningens brunster, blodflytningar och tidpunkter för seminering Var delaktig i projektets samtliga faser från kravinsamling till driftsättning. Appen utvecklades i C# med hjälp av Xamarin.Forms som är ett open-source ramverk som bygger på .NET. Xamarin.Forms möjliggjorde att över 95% av koden som skrevs kunde delas mellan olika plattformar. Jag hade under projektet mycket kundkontakt och höll bland annat kontinuerliga demos för att få feedback på nya funktioner och vyer. Tekniker git, REST, C#, MSSQL, MVVM, .NET, iOS, Android</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Testingenjör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Uppdragets syfte var att säkerställa att mjukvaran uppfyllde de hårt ställda krav som fanns. Underhåll samt framtagning av nya testfall med hjälp av Matlab/Simulink samt i C++ för att utföra systematiska tester av modeller. Tekniker C++, GoogleTest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Aeronautics</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Mjukvaruutvecklare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2012 - 2013</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Underhåll av Gripen C/Ds telekrigssystem. Arbetet innefattade dokumenthantering, buggfixar samt test och verifiering. Utvecklade med hjälp av ett multimedia API ett verktyg i C# så att tidskrävande video-konverteringar kunde undvikas och därmed spara in tiotals timmar per användningstillfälle. Tekniker C#</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Inbyggda system, Objektorienterade system, Mobilapplikationer</w:t>
            </w:r>
          </w:p>
          <w:p>
            <w:pPr>
              <w:spacing w:before="240" w:after="240"/>
              <w:rPr>
                <w:b w:val="0"/>
                <w:bCs w:val="0"/>
                <w:i w:val="0"/>
                <w:iCs w:val="0"/>
                <w:smallCaps w:val="0"/>
                <w:color w:val="000000"/>
              </w:rPr>
            </w:pPr>
            <w:r>
              <w:rPr>
                <w:b/>
                <w:bCs/>
                <w:i w:val="0"/>
                <w:iCs w:val="0"/>
                <w:smallCaps w:val="0"/>
                <w:color w:val="000000"/>
              </w:rPr>
              <w:t xml:space="preserve">Verktyg &amp; Middleware: </w:t>
            </w:r>
            <w:r>
              <w:rPr>
                <w:b w:val="0"/>
                <w:bCs w:val="0"/>
                <w:i w:val="0"/>
                <w:iCs w:val="0"/>
                <w:smallCaps w:val="0"/>
                <w:color w:val="000000"/>
              </w:rPr>
              <w:t>Git</w:t>
            </w:r>
          </w:p>
          <w:p>
            <w:pPr>
              <w:spacing w:before="240"/>
              <w:rPr>
                <w:b w:val="0"/>
                <w:bCs w:val="0"/>
                <w:i w:val="0"/>
                <w:iCs w:val="0"/>
                <w:smallCaps w:val="0"/>
                <w:color w:val="000000"/>
              </w:rPr>
            </w:pPr>
            <w:r>
              <w:rPr>
                <w:b/>
                <w:bCs/>
                <w:i w:val="0"/>
                <w:iCs w:val="0"/>
                <w:smallCaps w:val="0"/>
                <w:color w:val="000000"/>
              </w:rPr>
              <w:t xml:space="preserve">Utvecklingsspråk: </w:t>
            </w:r>
            <w:r>
              <w:rPr>
                <w:b w:val="0"/>
                <w:bCs w:val="0"/>
                <w:i w:val="0"/>
                <w:iCs w:val="0"/>
                <w:smallCaps w:val="0"/>
                <w:color w:val="000000"/>
              </w:rPr>
              <w:t>C++, C#, Objective-C, Python, Swift</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Tekniskt: </w:t>
            </w:r>
            <w:r>
              <w:rPr>
                <w:b w:val="0"/>
                <w:bCs w:val="0"/>
                <w:i w:val="0"/>
                <w:iCs w:val="0"/>
                <w:smallCaps w:val="0"/>
                <w:color w:val="000000"/>
              </w:rPr>
              <w:t>C#, C++, Objekt orientering, Swift/Objective C</w:t>
            </w:r>
          </w:p>
          <w:p>
            <w:pPr>
              <w:spacing w:before="240"/>
              <w:rPr>
                <w:b w:val="0"/>
                <w:bCs w:val="0"/>
                <w:i w:val="0"/>
                <w:iCs w:val="0"/>
                <w:smallCaps w:val="0"/>
                <w:color w:val="000000"/>
              </w:rPr>
            </w:pPr>
            <w:r>
              <w:rPr>
                <w:b/>
                <w:bCs/>
                <w:i w:val="0"/>
                <w:iCs w:val="0"/>
                <w:smallCaps w:val="0"/>
                <w:color w:val="000000"/>
              </w:rPr>
              <w:t xml:space="preserve">Personligt: </w:t>
            </w:r>
            <w:r>
              <w:rPr>
                <w:b w:val="0"/>
                <w:bCs w:val="0"/>
                <w:i w:val="0"/>
                <w:iCs w:val="0"/>
                <w:smallCaps w:val="0"/>
                <w:color w:val="000000"/>
              </w:rPr>
              <w:t>Teamlead</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2022</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Mjukvaruutvecklare, IT Bolaget Per &amp; Per 2021 - 2022</w:t>
            </w:r>
          </w:p>
          <w:p>
            <w:pPr>
              <w:spacing w:before="240" w:after="240"/>
              <w:rPr>
                <w:b w:val="0"/>
                <w:bCs w:val="0"/>
                <w:i w:val="0"/>
                <w:iCs w:val="0"/>
                <w:smallCaps w:val="0"/>
                <w:color w:val="000000"/>
              </w:rPr>
            </w:pPr>
            <w:r>
              <w:rPr>
                <w:b w:val="0"/>
                <w:bCs w:val="0"/>
                <w:i w:val="0"/>
                <w:iCs w:val="0"/>
                <w:smallCaps w:val="0"/>
                <w:color w:val="000000"/>
              </w:rPr>
              <w:t>Mjukvaruutvecklare, Väderstad AB 2016 - 2021</w:t>
            </w:r>
          </w:p>
          <w:p>
            <w:pPr>
              <w:spacing w:before="240" w:after="240"/>
              <w:rPr>
                <w:b w:val="0"/>
                <w:bCs w:val="0"/>
                <w:i w:val="0"/>
                <w:iCs w:val="0"/>
                <w:smallCaps w:val="0"/>
                <w:color w:val="000000"/>
              </w:rPr>
            </w:pPr>
            <w:r>
              <w:rPr>
                <w:b w:val="0"/>
                <w:bCs w:val="0"/>
                <w:i w:val="0"/>
                <w:iCs w:val="0"/>
                <w:smallCaps w:val="0"/>
                <w:color w:val="000000"/>
              </w:rPr>
              <w:t>Mjukvaruutvecklare, Avalon Innovation 2015 - 2016</w:t>
            </w:r>
          </w:p>
          <w:p>
            <w:pPr>
              <w:spacing w:before="240" w:after="240"/>
              <w:rPr>
                <w:b w:val="0"/>
                <w:bCs w:val="0"/>
                <w:i w:val="0"/>
                <w:iCs w:val="0"/>
                <w:smallCaps w:val="0"/>
                <w:color w:val="000000"/>
              </w:rPr>
            </w:pPr>
            <w:r>
              <w:rPr>
                <w:b w:val="0"/>
                <w:bCs w:val="0"/>
                <w:i w:val="0"/>
                <w:iCs w:val="0"/>
                <w:smallCaps w:val="0"/>
                <w:color w:val="000000"/>
              </w:rPr>
              <w:t>Mjukvaruutvecklare, ÅF 2014 - 2015</w:t>
            </w:r>
          </w:p>
          <w:p>
            <w:pPr>
              <w:spacing w:before="240"/>
              <w:rPr>
                <w:b w:val="0"/>
                <w:bCs w:val="0"/>
                <w:i w:val="0"/>
                <w:iCs w:val="0"/>
                <w:smallCaps w:val="0"/>
                <w:color w:val="000000"/>
              </w:rPr>
            </w:pPr>
            <w:r>
              <w:rPr>
                <w:b w:val="0"/>
                <w:bCs w:val="0"/>
                <w:i w:val="0"/>
                <w:iCs w:val="0"/>
                <w:smallCaps w:val="0"/>
                <w:color w:val="000000"/>
              </w:rPr>
              <w:t>Mjukvaruutvecklare, Combitech AB 2012 - 2014</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Certified ScrumMaster® Training, Learning Tree, 2017 - 2017</w:t>
            </w:r>
          </w:p>
          <w:p>
            <w:pPr>
              <w:spacing w:before="240"/>
              <w:rPr>
                <w:b w:val="0"/>
                <w:bCs w:val="0"/>
                <w:i w:val="0"/>
                <w:iCs w:val="0"/>
                <w:smallCaps w:val="0"/>
                <w:color w:val="000000"/>
              </w:rPr>
            </w:pPr>
            <w:r>
              <w:rPr>
                <w:b w:val="0"/>
                <w:bCs w:val="0"/>
                <w:i w:val="0"/>
                <w:iCs w:val="0"/>
                <w:smallCaps w:val="0"/>
                <w:color w:val="000000"/>
              </w:rPr>
              <w:t>Civilingenjör i elektronikdesign med inriktning trådlösa system., LINKÖPINGS UNIVERSITET, 2007 - 2012</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