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Daniel Sandell</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Utvecklare</w:t>
            </w:r>
          </w:p>
          <w:p>
            <w:pPr>
              <w:spacing w:before="240"/>
              <w:rPr>
                <w:b w:val="0"/>
                <w:bCs w:val="0"/>
                <w:i w:val="0"/>
                <w:iCs w:val="0"/>
                <w:smallCaps w:val="0"/>
                <w:color w:val="000000"/>
              </w:rPr>
            </w:pPr>
            <w:r>
              <w:rPr>
                <w:b w:val="0"/>
                <w:bCs w:val="0"/>
                <w:i w:val="0"/>
                <w:iCs w:val="0"/>
                <w:smallCaps w:val="0"/>
                <w:color w:val="000000"/>
              </w:rPr>
              <w:t>Test &amp; kravhantering</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Daniel är en erfaren utvecklare som har en bred teknisk kompetens. Han har de senaste åren arbetat med programvara för flyg och fordon. Han har främst arbetat med utveckling men har även varit involverad i kravarbete, test samt kvalitetssäkring. Daniel har god kunskap om programmeringsspråken C++, C, Pascal, och Java. Han har även jobbat med Rust, C# och Delphi.</w:t>
      </w:r>
      <w:r>
        <w:t xml:space="preserve"> </w:t>
      </w:r>
      <w:r>
        <w:br/>
      </w:r>
      <w:r>
        <w:br/>
      </w:r>
      <w:r>
        <w:rPr>
          <w:b/>
          <w:bCs/>
        </w:rPr>
        <w:t>Egenskaper</w:t>
      </w:r>
    </w:p>
    <w:p>
      <w:pPr>
        <w:spacing w:before="240" w:after="240"/>
      </w:pPr>
      <w:r>
        <w:t xml:space="preserve">Daniel är en driven konsult som är lätt att samarbeta med och som trivs att arbeta i grupp såväl som självständigt. Han är en ansvarsfull, lojal och noggrann konsult som alltid är mån om att leverera i tid och med god kvalitet. </w:t>
      </w:r>
      <w:r>
        <w:br/>
      </w:r>
      <w:r>
        <w:br/>
      </w:r>
      <w:r>
        <w:rPr>
          <w:b/>
          <w:bCs/>
        </w:rPr>
        <w:t>Branscherfarenhet</w:t>
      </w:r>
    </w:p>
    <w:p>
      <w:pPr>
        <w:spacing w:before="240" w:after="240"/>
      </w:pPr>
      <w:r>
        <w:t xml:space="preserve">Försvar, Tillverkande Industri </w:t>
      </w: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Veoneer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2022 -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plattformsmjukvara för integration av LiDAR-sensor i fordon. Implementation, testning och dokumentation följde standarder för fordonssäkerhet. Teknik: C, Scrum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2022 - 2022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flygplansmjukvara för styrning av telekrigsutrustning. Implementation, testning och dokumentation följde standarder för flygsäkerhet. Teknik: C++,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2020 - 2021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ett verktyg som används för att generera kod. Implementation, testning och dokumentation följde standarder för flygsäkerhet. Teknik: Rust, C++, MATLAB,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2018 - 2020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flygplansmjukvara för styrning av telekrigsutrustning. Implementation, testning och dokumentation följde standarder för flygsäkerhet. Teknik: C++,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2018 - 2018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flygplansmjukvara för styrning av radarutrustning. Implementation, testning och dokumentation följde standarder för flygsäkerhet. Teknik: C++,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2016 - 2017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plattformsmjukvara för flygplan. Implementation, testning och dokumentation följde standarder för flygsäkerhet. Teknik: C, C++, Java,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2015 - 2016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flygplansmjukvara för styrning av telekrigsutrustning. Implementation, testning och dokumentation följde standarder för flygsäkerhet. Teknik: BridgePoint, C++,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flygplansmjukvara för navigering. Implementation, testning och dokumentation följde standarder för flygsäkerhet. Teknik: C++, MATLAB,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Combitech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Testare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Verifiering av säkerhetskritiska system för flygplan. Testningen följde standarder för flygsäkerhet. Teknik: Simulink,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Systemingenjör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Systemarbete berörande navigering för ett taktiskt system för helikopter. Arbetet följde standarder för flygsäkerhet. Teknik: Doors, Scrum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Combitech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kravhantering och testning av Gripens systemdator, diverse lösningar berörande Gripens användargränssnitt. Implementation, testning och dokumentation följde standarder för flygsäkerhet. Teknik: Pascal,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Combitech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kravhantering och testning av Gripens systemdator inom beslutsstöd och navigering. Implementation, testning och dokumentation följde standarder för flygsäkerhet. Teknik: Pascal, Scrum,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Aerosystem</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2007 - 2013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kravhantering och testning av Gripens systemdator inom beslutsstöd, mestadels utveckling av uppdragsdata och uppdragsberäkningar. Implementation, testning och dokumentation följde standarder för flygsäkerhet. Teknik: Pascal, Doors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ITT Flygt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ett analysverktyg för prissättning av produkter. Teknik: VB.NET, Microsoft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2"/>
              <w:gridCol w:w="604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ITT Flygt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ett offerthanteringssystem som är designat för att hantera offerter för olika typer av pumpar. Teknik: Delphi, Microsoft SQL Server, XML, XSLT.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ITT Flygt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Sammanställning av data från olika databaser och uppdatering av prislistor. Teknik: Microsoft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5"/>
              <w:gridCol w:w="604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ITT Flygt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ett webbaserat pumpvalsprogram, för att välja pump och utformning av pumpsystem. Teknik: .NET, C#, JavaScript, Microsoft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Aleris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en webbaserad lösning för att kunna administrera svar från ett webbenkätsystem. Teknik: .NET, C#, Microsoft SQL Server.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Feelgood Svenska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ett webbenkätsystem och rapportgenerator, för att skapa, distribuera, arkivera och publicera enkäter på webben. Teknik: Delphi, Microsoft SQL Server</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 xml:space="preserve">Branscherfarenhet: </w:t>
            </w:r>
            <w:r>
              <w:rPr>
                <w:b w:val="0"/>
                <w:bCs w:val="0"/>
                <w:i w:val="0"/>
                <w:iCs w:val="0"/>
                <w:smallCaps w:val="0"/>
                <w:color w:val="000000"/>
              </w:rPr>
              <w:t>Försvar</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2012</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Konsult, Sogeti Sverige AB 2007 - 2012</w:t>
            </w:r>
          </w:p>
          <w:p>
            <w:pPr>
              <w:spacing w:before="240"/>
              <w:rPr>
                <w:b w:val="0"/>
                <w:bCs w:val="0"/>
                <w:i w:val="0"/>
                <w:iCs w:val="0"/>
                <w:smallCaps w:val="0"/>
                <w:color w:val="000000"/>
              </w:rPr>
            </w:pPr>
            <w:r>
              <w:rPr>
                <w:b w:val="0"/>
                <w:bCs w:val="0"/>
                <w:i w:val="0"/>
                <w:iCs w:val="0"/>
                <w:smallCaps w:val="0"/>
                <w:color w:val="000000"/>
              </w:rPr>
              <w:t>Konsult, Pepto Systems AB 2005 - 2007</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C++ Advanced Programming, Informator AB, 2018 - 2018</w:t>
            </w:r>
          </w:p>
          <w:p>
            <w:pPr>
              <w:spacing w:before="240" w:after="240"/>
              <w:rPr>
                <w:b w:val="0"/>
                <w:bCs w:val="0"/>
                <w:i w:val="0"/>
                <w:iCs w:val="0"/>
                <w:smallCaps w:val="0"/>
                <w:color w:val="000000"/>
              </w:rPr>
            </w:pPr>
            <w:r>
              <w:rPr>
                <w:b w:val="0"/>
                <w:bCs w:val="0"/>
                <w:i w:val="0"/>
                <w:iCs w:val="0"/>
                <w:smallCaps w:val="0"/>
                <w:color w:val="000000"/>
              </w:rPr>
              <w:t>xtUML - Analysis and Design, Combitech, 2015 - 2015</w:t>
            </w:r>
          </w:p>
          <w:p>
            <w:pPr>
              <w:spacing w:before="240" w:after="240"/>
              <w:rPr>
                <w:b w:val="0"/>
                <w:bCs w:val="0"/>
                <w:i w:val="0"/>
                <w:iCs w:val="0"/>
                <w:smallCaps w:val="0"/>
                <w:color w:val="000000"/>
              </w:rPr>
            </w:pPr>
            <w:r>
              <w:rPr>
                <w:b w:val="0"/>
                <w:bCs w:val="0"/>
                <w:i w:val="0"/>
                <w:iCs w:val="0"/>
                <w:smallCaps w:val="0"/>
                <w:color w:val="000000"/>
              </w:rPr>
              <w:t>Scrum Master kurs, Softhouse, 2012 - 2012</w:t>
            </w:r>
          </w:p>
          <w:p>
            <w:pPr>
              <w:spacing w:before="240" w:after="240"/>
              <w:rPr>
                <w:b w:val="0"/>
                <w:bCs w:val="0"/>
                <w:i w:val="0"/>
                <w:iCs w:val="0"/>
                <w:smallCaps w:val="0"/>
                <w:color w:val="000000"/>
              </w:rPr>
            </w:pPr>
            <w:r>
              <w:rPr>
                <w:b w:val="0"/>
                <w:bCs w:val="0"/>
                <w:i w:val="0"/>
                <w:iCs w:val="0"/>
                <w:smallCaps w:val="0"/>
                <w:color w:val="000000"/>
              </w:rPr>
              <w:t>Scrum, agila metoder, Combitech, 2010 - 2010</w:t>
            </w:r>
          </w:p>
          <w:p>
            <w:pPr>
              <w:spacing w:before="240" w:after="240"/>
              <w:rPr>
                <w:b w:val="0"/>
                <w:bCs w:val="0"/>
                <w:i w:val="0"/>
                <w:iCs w:val="0"/>
                <w:smallCaps w:val="0"/>
                <w:color w:val="000000"/>
              </w:rPr>
            </w:pPr>
            <w:r>
              <w:rPr>
                <w:b w:val="0"/>
                <w:bCs w:val="0"/>
                <w:i w:val="0"/>
                <w:iCs w:val="0"/>
                <w:smallCaps w:val="0"/>
                <w:color w:val="000000"/>
              </w:rPr>
              <w:t>Sun Certified Programmer for the Java Platform, Linköping, 2009 - 2009</w:t>
            </w:r>
          </w:p>
          <w:p>
            <w:pPr>
              <w:spacing w:before="240" w:after="240"/>
              <w:rPr>
                <w:b w:val="0"/>
                <w:bCs w:val="0"/>
                <w:i w:val="0"/>
                <w:iCs w:val="0"/>
                <w:smallCaps w:val="0"/>
                <w:color w:val="000000"/>
              </w:rPr>
            </w:pPr>
            <w:r>
              <w:rPr>
                <w:b w:val="0"/>
                <w:bCs w:val="0"/>
                <w:i w:val="0"/>
                <w:iCs w:val="0"/>
                <w:smallCaps w:val="0"/>
                <w:color w:val="000000"/>
              </w:rPr>
              <w:t>UML 2.1, Nohau, 2008 - 2008</w:t>
            </w:r>
          </w:p>
          <w:p>
            <w:pPr>
              <w:spacing w:before="240" w:after="240"/>
              <w:rPr>
                <w:b w:val="0"/>
                <w:bCs w:val="0"/>
                <w:i w:val="0"/>
                <w:iCs w:val="0"/>
                <w:smallCaps w:val="0"/>
                <w:color w:val="000000"/>
              </w:rPr>
            </w:pPr>
            <w:r>
              <w:rPr>
                <w:b w:val="0"/>
                <w:bCs w:val="0"/>
                <w:i w:val="0"/>
                <w:iCs w:val="0"/>
                <w:smallCaps w:val="0"/>
                <w:color w:val="000000"/>
              </w:rPr>
              <w:t>ISEB Foundations Certificate in Software Testing, Linköping, 2008 - 2008</w:t>
            </w:r>
          </w:p>
          <w:p>
            <w:pPr>
              <w:spacing w:before="240"/>
              <w:rPr>
                <w:b w:val="0"/>
                <w:bCs w:val="0"/>
                <w:i w:val="0"/>
                <w:iCs w:val="0"/>
                <w:smallCaps w:val="0"/>
                <w:color w:val="000000"/>
              </w:rPr>
            </w:pPr>
            <w:r>
              <w:rPr>
                <w:b w:val="0"/>
                <w:bCs w:val="0"/>
                <w:i w:val="0"/>
                <w:iCs w:val="0"/>
                <w:smallCaps w:val="0"/>
                <w:color w:val="000000"/>
              </w:rPr>
              <w:t>Magisterexamen i datalogi, Mälardalens högskola, 1999 - 2004</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