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794" w:rsidRDefault="00164794" w:rsidP="00164794">
      <w:pPr>
        <w:pStyle w:val="Heading1"/>
      </w:pPr>
      <w:bookmarkStart w:id="0" w:name="_Ref511613700"/>
      <w:bookmarkStart w:id="1" w:name="_Toc515103939"/>
      <w:r>
        <w:t>Using high-throughput sequence data to predict trophic-group composition and community indices of nemato</w:t>
      </w:r>
      <w:bookmarkStart w:id="2" w:name="_GoBack"/>
      <w:bookmarkEnd w:id="2"/>
      <w:r>
        <w:t>des</w:t>
      </w:r>
      <w:bookmarkEnd w:id="0"/>
      <w:bookmarkEnd w:id="1"/>
    </w:p>
    <w:p w:rsidR="00164794" w:rsidRDefault="00164794" w:rsidP="00164794">
      <w:pPr>
        <w:rPr>
          <w:rFonts w:cs="Arial"/>
        </w:rPr>
      </w:pPr>
    </w:p>
    <w:p w:rsidR="00164794" w:rsidRPr="00090615" w:rsidRDefault="00164794" w:rsidP="00164794">
      <w:pPr>
        <w:pStyle w:val="Heading2"/>
        <w:ind w:left="0" w:firstLine="0"/>
      </w:pPr>
      <w:bookmarkStart w:id="3" w:name="_Toc515103940"/>
      <w:r w:rsidRPr="00090615">
        <w:t>Introduction</w:t>
      </w:r>
      <w:bookmarkEnd w:id="3"/>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role of nematodes as indicators of soil quality is amongst the most researched and reviewed sub-disciplines of nematology </w:t>
      </w:r>
      <w:r w:rsidRPr="0023180E">
        <w:rPr>
          <w:rFonts w:ascii="Arial" w:hAnsi="Arial" w:cs="Arial"/>
          <w:sz w:val="22"/>
        </w:rPr>
        <w:fldChar w:fldCharType="begin" w:fldLock="1"/>
      </w:r>
      <w:r w:rsidRPr="0023180E">
        <w:rPr>
          <w:rFonts w:ascii="Arial" w:hAnsi="Arial" w:cs="Arial"/>
          <w:sz w:val="22"/>
        </w:rPr>
        <w:instrText>ADDIN CSL_CITATION {"citationItems":[{"id":"ITEM-1","itemData":{"ISSN":"0169-5347","author":[{"dropping-particle":"","family":"Bongers","given":"Tom","non-dropping-particle":"","parse-names":false,"suffix":""},{"dropping-particle":"","family":"Ferris","given":"Howard","non-dropping-particle":"","parse-names":false,"suffix":""}],"container-title":"Trends in Ecology &amp; Evolution","id":"ITEM-1","issue":"6","issued":{"date-parts":[["1999"]]},"page":"224-228","publisher":"Elsevier","title":"Nematode community structure as a bioindicator in environmental monitoring","type":"article-journal","volume":"14"},"uris":["http://www.mendeley.com/documents/?uuid=c20acd2e-b3a8-42ac-96a9-32e70ead27af"]},{"id":"ITEM-2","itemData":{"DOI":"10.1016/S0929-1393(98)00123-1","ISBN":"0929-1393","ISSN":"09291393","PMID":"1828","abstract":"Nematodes are the most abundant metazoa. Their food specificity, the high number of species and high abundance in every habitat where decomposition takes place indicates that the structure of the nematode community has a high information content. Since nematodes respond rapidly to new resources, and the nematode fauna can be efficiently analyzed, the structure of the nematode community offers an instrument to assess (changes in) the conditions of soils. A functional grouping of nematodes is generally synonymous with allocation into feeding groups. However, soil quality assessment indices based on the presence of all feeding groups still provide insufficient information regarding the functioning of soil ecosystems and their threats. An alternative concept of functional groups is based on the life history of nematodes. In this paper we present the most recent colonizer-persister allocation and the application of this scaling in the Maturity Index, cp-triangles, MI(2-5) and PPI/MI-ratio. We propose to integrate the life strategy approach and trophic group classification to obtain a better understanding of nematode biodiversity and soil functioning. Attention is given to competitive exclusion and coexistence and we summarize present concepts regarding succession and degradation. (C) 1998 Elsevier Science B.V.","author":[{"dropping-particle":"","family":"Bongers","given":"Tom","non-dropping-particle":"","parse-names":false,"suffix":""},{"dropping-particle":"","family":"Bongers","given":"Marina","non-dropping-particle":"","parse-names":false,"suffix":""}],"container-title":"Applied Soil Ecology","id":"ITEM-2","issue":"3","issued":{"date-parts":[["1998"]]},"page":"239-251","title":"Functional diversity of nematodes","type":"article-journal","volume":"10"},"uris":["http://www.mendeley.com/documents/?uuid=93ef4a07-c32d-4db3-98b4-fae3c1d9c537"]},{"id":"ITEM-3","itemData":{"ISSN":"0029-8549","author":[{"dropping-particle":"","family":"Bongers","given":"Tom","non-dropping-particle":"","parse-names":false,"suffix":""}],"container-title":"Oecologia","id":"ITEM-3","issue":"1","issued":{"date-parts":[["1990"]]},"page":"14-19","publisher":"Springer","title":"The maturity index: an ecological measure of environmental disturbance based on nematode species composition","type":"article-journal","volume":"83"},"uris":["http://www.mendeley.com/documents/?uuid=ac28d379-c0d6-4b5b-9916-3835705c5ebe"]},{"id":"ITEM-4","itemData":{"ISSN":"0022-300X","abstract":"The organisms of the soil food web, dependent on resources from plants\nor on amendment from other sources, respond characteristically to\nenrichment of their environment by organic matter. Primary consumers of\nthe incoming substrate, including bacteria, fungi, plant-feeding\nnematodes, annelids, and some microarthropods, are entry-level\nindicators of enrichment. However, the quantification of abundance and\nbiomass of this diverse group, as an indicator of resource status,\nrequires a plethora of extraction and assessment techniques. Soluble\norganic compounds are absorbed by bacteria and fungi, while fungi also\ndegrade more recalcitrant sources. These organisms are potential\nindicators of the nature of incoming substrate, but current methods of\nbiomass determination do not reliably indicate their community\ncomposition. Guilds of nematodes that feed on bacteria (e.g.,\nRhabditidae, Panagrolaimidae) and fungi (e.g., Aphelenchidae,\nAphelenchoididae) are responsive to changes in abundance of their food.\nThrough direct herbivory, plant-feeding nematodes (e.g., many species of\nTylenchina) also contribute to food web resources. Thus, analysis of the\nnematode community of a single sample provides indication of carbon flow\nthrough an important herbivore channel and through channels mediated by\nbacteria and fungi. Some nematode guilds are more responsive than others\nto resource enrichment. Generally, those bacterivores with short\nlifecycles and high reproductive potential (e.g., Rhabditidae) most\nclosely mirror the bloom of bacteria or respond most rapidly to active\nplant growth. The feeding habits of some groups remain unclear. For\nexample, nematodes of the Tylenchidae may constitute 30% or more of the\nindividuals in a soil sample; further study is necessary to determine\nwhich resource channels they portray and the appropriate level of\ntaxonomic resolution for this group. A graphic representation of the\nrelative biomass of bacterivorous, fungivorous, and herbivorous\nnematodes provides a useful tool for assessing the importance of the\nbacterial, fungal, and plant resource channels in an extant food web.","author":[{"dropping-particle":"","family":"Ferris","given":"Howard","non-dropping-particle":"","parse-names":false,"suffix":""},{"dropping-particle":"","family":"Bongers","given":"Tom","non-dropping-particle":"","parse-names":false,"suffix":""}],"container-title":"JOURNAL OF NEMATOLOGY","id":"ITEM-4","issue":"1","issued":{"date-parts":[["2006","3"]]},"note":"43rd Annual Meeting of the Society-of-Nematologists, Estes Pk, CO, AUG\n07-11, 2004","page":"3-12","publisher":"SOC NEMATOLOGISTS","publisher-place":"PO BOX 311, MARCELINE, MO 64658 USA","title":"Nematode indicators of organic enrichment","type":"article-journal","volume":"38"},"uris":["http://www.mendeley.com/documents/?uuid=328fc257-3a41-464b-ba4a-5285a050342f"]},{"id":"ITEM-5","itemData":{"DOI":"10.1016/j.apsoil.2006.09.008","ISSN":"09291393","abstract":"No-tillage (NT) cropping systems develop distinct soil ecosystems characterized by a diverse soil fauna and slow fungal decomposition. However, nematode community analyses sometimes fail to detect these characteristics because the treatment before study or the sampling period is too short or the studies are not comprehensive. Different nematode taxa may occur depending on the geographic region and soil type, thereby affecting the usefulness of nematode analyses for soil biological assessment. However, studies in Asia are scarce. Thus, in this 2-year study, we compared nematode populations, community structures, and soil physicochemical properties between long-term NT and conventional tillage (CT) treatments combined with chemical (CF), organic (OF), or no (NF) fertilizer treatments in a Japanese soybean field. We then examined whether nematode diversity and community indices could detect differences among the treatments in the Japanese andosols. Although the effects of tillage on nematode densities were significant, the overall trend in NT–CT differences was not clear, except for omnivores and Meloidogyne. The effects of tillage on nematode diversity and community indices were apparent: diversity indices, maturity index (MI) and related indices, structure index, and channel index were higher, whereas enrichment index (EI) was lower in NT because of higher densities of K-strategy taxa, fungal and facultative root feeders, and lower densities of r-strategy bacterial feeders. Fertilizer treatments also affected nematode densities: most feeding groups were less abundant in NF and predatory nematodes were more abundant in OF than in other treatments. OF increased nematode diversity via an increase in microbivorous and predaceous nematodes. However, the effects of fertilizer on most community indices were not apparent. Interactions between tillage and fertilizer effects were significant for Pratylenchus and total nematode densities, MI, and EI. Among the soil properties differing among treatments, Ca and Mg content, cation exchange capacity, and percent total nitrogen affected nematode community structure. In conclusion, nematode community analyses using index calculations are useful for assessing soil biological properties under different tillage treatments in Japanese andosols, as well as in soil types in other countries. However, index calculations were less sensitive at detecting fertilizer treatment effects, probably because of simultaneous increases in …","author":[{"dropping-particle":"","family":"Okada","given":"H.","non-dropping-particle":"","parse-names":false,"suffix":""},{"dropping-particle":"","family":"Harada","given":"H.","non-dropping-particle":"","parse-names":false,"suffix":""}],"container-title":"Applied Soil Ecology","id":"ITEM-5","issue":"3","issued":{"date-parts":[["2007"]]},"page":"582-598","title":"Effects of tillage and fertilizer on nematode communities in a Japanese soybean field","type":"article-journal","volume":"35"},"uris":["http://www.mendeley.com/documents/?uuid=4d9ae482-ddf5-3039-b5f9-a4d3e1625736"]},{"id":"ITEM-6","itemData":{"ISSN":"0022-300X","abstract":"Interest in the sustainability of farming practices has increased in response to environmental problems associated with conventional agricultural management often adopted for the production of herbaceous crops, ornamentals, and fruit crops. Availability of measures of the status of the soil ecosystem is of immediate importance, particularly for environmental assessment and monitoring programs. This study investigated the effects of various irrigation regimes (an example of an agricultural management practice) on the structure of the nematode fauna in a citrus orchard in the sandy ridge area of Central Florida. Ecological measures such as community structure indices, diversity indices, and maturity indices were assessed and related to irrigation intensity. Maturity index was an effective measure in distinguishing differences between irrigation regimes, whereas other indices of community structure were not. Of various nematode genera and trophic groups, only omnivores and the omnivore genera. Aporcelaimellus and Eudorylaimus responded to irrigation treatments. ","author":[{"dropping-particle":"","family":"Porazinska","given":"D L","non-dropping-particle":"","parse-names":false,"suffix":""},{"dropping-particle":"","family":"McSorley","given":"R","non-dropping-particle":"","parse-names":false,"suffix":""},{"dropping-particle":"","family":"Duncan","given":"L W","non-dropping-particle":"","parse-names":false,"suffix":""},{"dropping-particle":"","family":"Graham","given":"J H","non-dropping-particle":"","parse-names":false,"suffix":""},{"dropping-particle":"","family":"Wheaton","given":"T A","non-dropping-particle":"","parse-names":false,"suffix":""},{"dropping-particle":"","family":"Parsons","given":"L R","non-dropping-particle":"","parse-names":false,"suffix":""}],"container-title":"Journal of Nematology","id":"ITEM-6","issue":"2","issued":{"date-parts":[["1998","6"]]},"page":"170-178","publisher":"Society of Nematologists","title":"Nematode Community Composition under Various Irrigation Schemes in a Citrus Soil Ecosystem","type":"article-journal","volume":"30"},"uris":["http://www.mendeley.com/documents/?uuid=4d3a45c7-b627-4ea8-ad58-77157480f7e8"]},{"id":"ITEM-7","itemData":{"DOI":"10.1016/S0929-1393(99)00018-9","ISSN":"09291393","abstract":"Nematode communities were monitored for three years in a citrus soil ecosystem in Central Florida under various agricultural regimes comparing standard vs. reduced-input practices. Differences in agricultural regimes consisted of two fertilization levels, two irrigation levels, and two types of ground cover under the tree (herbicide vs. mulch). While some nematodes were affected sporadically by fertilization and irrigation treatments, mulch had a consistent and frequently significant effect on many bacterivores, fungivores, herbivores, and omnivores. Rhabitidae, Cephalobus, Aphelenchus, and Aphelenchoides had an immediate but temporary response to mulch additions. Acrobeles, Acrobeloides, Eucephalobus, Teratocephalus, Criconemoides, Aporcelaimellus, and Eudorylaimus were always less abundant in mulch-treated plots, whereas Plectus and Belonolaimus were always more abundant. Of various indices of community composition, only maturity indices, unlike diversity indices, indicated the status and intensity of soil processes (decomposition, mineralization). However, different responses of single genera within a trophic group implied unique contributions of nematode genera in soil ecosystem processes on a temporal scale, suggesting that generic or possibly species level of resolution provide the most adequate information about the soil ecosystem.","author":[{"dropping-particle":"","family":"Porazinska","given":"D.L","non-dropping-particle":"","parse-names":false,"suffix":""},{"dropping-particle":"","family":"Duncan","given":"L.W","non-dropping-particle":"","parse-names":false,"suffix":""},{"dropping-particle":"","family":"McSorley","given":"R","non-dropping-particle":"","parse-names":false,"suffix":""},{"dropping-particle":"","family":"Graham","given":"J.H","non-dropping-particle":"","parse-names":false,"suffix":""}],"container-title":"Applied Soil Ecology","id":"ITEM-7","issue":"1","issued":{"date-parts":[["1999","9"]]},"page":"69-86","title":"Nematode communities as indicators of status and processes of a soil ecosystem influenced by agricultural management practices","type":"article-journal","volume":"13"},"uris":["http://www.mendeley.com/documents/?uuid=f5e7f4e4-739f-47b0-9b82-8024d1d9203e"]}],"mendeley":{"formattedCitation":"(Bongers, 1990; Bongers and Bongers, 1998; Bongers and Ferris, 1999; Ferris and Bongers, 2006; Okada and Harada, 2007; Porazinska et al., 1999, 1998)","plainTextFormattedCitation":"(Bongers, 1990; Bongers and Bongers, 1998; Bongers and Ferris, 1999; Ferris and Bongers, 2006; Okada and Harada, 2007; Porazinska et al., 1999, 1998)","previouslyFormattedCitation":"(Bongers, 1990; Bongers and Bongers, 1998; Bongers and Ferris, 1999; Ferris and Bongers, 2006; Okada and Harada, 2007; Porazinska et al., 1999, 1998)"},"properties":{"noteIndex":0},"schema":"https://github.com/citation-style-language/schema/raw/master/csl-citation.json"}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1990; Bongers and Bongers, 1998; Bongers and Ferris, 1999; Ferris and Bongers, 2006; Okada and Harada, 2007; Porazinska et al., 1999, 1998)</w:t>
      </w:r>
      <w:r w:rsidRPr="0023180E">
        <w:rPr>
          <w:rFonts w:ascii="Arial" w:hAnsi="Arial" w:cs="Arial"/>
          <w:sz w:val="22"/>
        </w:rPr>
        <w:fldChar w:fldCharType="end"/>
      </w:r>
      <w:r w:rsidRPr="0023180E">
        <w:rPr>
          <w:rFonts w:ascii="Arial" w:hAnsi="Arial" w:cs="Arial"/>
          <w:sz w:val="22"/>
        </w:rPr>
        <w:t xml:space="preserve">. Nematode community composition and structure provide an excellent tool for determining whether the soil has been disturbed or not </w:t>
      </w:r>
      <w:r w:rsidRPr="0023180E">
        <w:rPr>
          <w:rFonts w:ascii="Arial" w:hAnsi="Arial" w:cs="Arial"/>
          <w:sz w:val="22"/>
        </w:rPr>
        <w:fldChar w:fldCharType="begin" w:fldLock="1"/>
      </w:r>
      <w:r w:rsidRPr="0023180E">
        <w:rPr>
          <w:rFonts w:ascii="Arial" w:hAnsi="Arial" w:cs="Arial"/>
          <w:sz w:val="22"/>
        </w:rPr>
        <w:instrText>ADDIN CSL_CITATION {"citationItems":[{"id":"ITEM-1","itemData":{"ISSN":"0029-8549","author":[{"dropping-particle":"","family":"Bongers","given":"Tom","non-dropping-particle":"","parse-names":false,"suffix":""}],"container-title":"Oecologia","id":"ITEM-1","issue":"1","issued":{"date-parts":[["1990"]]},"page":"14-19","publisher":"Springer","title":"The maturity index: an ecological measure of environmental disturbance based on nematode species composition","type":"article-journal","volume":"83"},"uris":["http://www.mendeley.com/documents/?uuid=ac28d379-c0d6-4b5b-9916-3835705c5ebe"]}],"mendeley":{"formattedCitation":"(Bongers, 1990)","plainTextFormattedCitation":"(Bongers, 1990)","previouslyFormattedCitation":"(Bongers, 1990)"},"properties":{"noteIndex":0},"schema":"https://github.com/citation-style-language/schema/raw/master/csl-citation.json"}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1990)</w:t>
      </w:r>
      <w:r w:rsidRPr="0023180E">
        <w:rPr>
          <w:rFonts w:ascii="Arial" w:hAnsi="Arial" w:cs="Arial"/>
          <w:sz w:val="22"/>
        </w:rPr>
        <w:fldChar w:fldCharType="end"/>
      </w:r>
      <w:r w:rsidRPr="0023180E">
        <w:rPr>
          <w:rFonts w:ascii="Arial" w:hAnsi="Arial" w:cs="Arial"/>
          <w:sz w:val="22"/>
        </w:rPr>
        <w:t xml:space="preserve">. This typically entails identifying the different taxa and recording their abundance in soil samples. This information is then used to generate community indices such as the maturity index (MI), plant parasitic index (PPI) </w:t>
      </w:r>
      <w:r w:rsidRPr="0023180E">
        <w:rPr>
          <w:rFonts w:ascii="Arial" w:hAnsi="Arial" w:cs="Arial"/>
          <w:sz w:val="22"/>
        </w:rPr>
        <w:fldChar w:fldCharType="begin" w:fldLock="1"/>
      </w:r>
      <w:r w:rsidRPr="0023180E">
        <w:rPr>
          <w:rFonts w:ascii="Arial" w:hAnsi="Arial" w:cs="Arial"/>
          <w:sz w:val="22"/>
        </w:rPr>
        <w:instrText>ADDIN CSL_CITATION {"citationItems":[{"id":"ITEM-1","itemData":{"ISSN":"0029-8549","author":[{"dropping-particle":"","family":"Bongers","given":"Tom","non-dropping-particle":"","parse-names":false,"suffix":""}],"container-title":"Oecologia","id":"ITEM-1","issue":"1","issued":{"date-parts":[["1990"]]},"page":"14-19","publisher":"Springer","title":"The maturity index: an ecological measure of environmental disturbance based on nematode species composition","type":"article-journal","volume":"83"},"uris":["http://www.mendeley.com/documents/?uuid=ac28d379-c0d6-4b5b-9916-3835705c5ebe"]}],"mendeley":{"formattedCitation":"(Bongers, 1990)","plainTextFormattedCitation":"(Bongers, 1990)","previouslyFormattedCitation":"(Bongers, 1990)"},"properties":{"noteIndex":0},"schema":"https://github.com/citation-style-language/schema/raw/master/csl-citation.json"}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1990)</w:t>
      </w:r>
      <w:r w:rsidRPr="0023180E">
        <w:rPr>
          <w:rFonts w:ascii="Arial" w:hAnsi="Arial" w:cs="Arial"/>
          <w:sz w:val="22"/>
        </w:rPr>
        <w:fldChar w:fldCharType="end"/>
      </w:r>
      <w:r w:rsidRPr="0023180E">
        <w:rPr>
          <w:rFonts w:ascii="Arial" w:hAnsi="Arial" w:cs="Arial"/>
          <w:sz w:val="22"/>
        </w:rPr>
        <w:t xml:space="preserve">, enrichment index (EI), basal index (BI), structure index (SI) and channel index (CI) </w:t>
      </w:r>
      <w:r w:rsidRPr="0023180E">
        <w:rPr>
          <w:rFonts w:ascii="Arial" w:hAnsi="Arial" w:cs="Arial"/>
          <w:sz w:val="22"/>
        </w:rPr>
        <w:fldChar w:fldCharType="begin" w:fldLock="1"/>
      </w:r>
      <w:r w:rsidRPr="0023180E">
        <w:rPr>
          <w:rFonts w:ascii="Arial" w:hAnsi="Arial" w:cs="Arial"/>
          <w:sz w:val="22"/>
        </w:rPr>
        <w:instrText>ADDIN CSL_CITATION {"citationItems":[{"id":"ITEM-1","itemData":{"ISSN":"0929-1393","author":[{"dropping-particle":"","family":"Ferris","given":"H","non-dropping-particle":"","parse-names":false,"suffix":""},{"dropping-particle":"","family":"Bongers","given":"T","non-dropping-particle":"","parse-names":false,"suffix":""},{"dropping-particle":"","family":"Goede","given":"R G M","non-dropping-particle":"De","parse-names":false,"suffix":""}],"container-title":"Applied soil ecology","id":"ITEM-1","issue":"1","issued":{"date-parts":[["2001"]]},"page":"13-29","publisher":"Elsevier","title":"A framework for soil food web diagnostics: extension of the nematode faunal analysis concept","type":"article-journal","volume":"18"},"uris":["http://www.mendeley.com/documents/?uuid=fa2e103e-1026-4f97-8ea5-6efd04c8db75"]}],"mendeley":{"formattedCitation":"(Ferris et al., 2001)","plainTextFormattedCitation":"(Ferris et al., 2001)","previouslyFormattedCitation":"(Ferris et al., 2001)"},"properties":{"noteIndex":0},"schema":"https://github.com/citation-style-language/schema/raw/master/csl-citation.json"}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(Ferris et al., 2001)</w:t>
      </w:r>
      <w:r w:rsidRPr="0023180E">
        <w:rPr>
          <w:rFonts w:ascii="Arial" w:hAnsi="Arial" w:cs="Arial"/>
          <w:sz w:val="22"/>
        </w:rPr>
        <w:fldChar w:fldCharType="end"/>
      </w:r>
      <w:r w:rsidRPr="0023180E">
        <w:rPr>
          <w:rFonts w:ascii="Arial" w:hAnsi="Arial" w:cs="Arial"/>
          <w:sz w:val="22"/>
        </w:rPr>
        <w:t xml:space="preserve"> of a sample, which if determined correctly allows inferences about the condition of the soil the sample was taken from. The taxonomic aspect of this process has traditionally been carried out using morphological characteristics of nematodes. Except for channel index, which only requires trophic group classifications, all the above-mentioned indices require identifying the individual nematodes to the genus level or at least to the family level </w:t>
      </w:r>
      <w:r w:rsidRPr="0023180E">
        <w:rPr>
          <w:rFonts w:ascii="Arial" w:hAnsi="Arial" w:cs="Arial"/>
          <w:sz w:val="22"/>
        </w:rPr>
        <w:fldChar w:fldCharType="begin" w:fldLock="1"/>
      </w:r>
      <w:r w:rsidRPr="0023180E">
        <w:rPr>
          <w:rFonts w:ascii="Arial" w:hAnsi="Arial" w:cs="Arial"/>
          <w:sz w:val="22"/>
        </w:rPr>
        <w:instrText>ADDIN CSL_CITATION {"citationItems":[{"id":"ITEM-1","itemData":{"ISSN":"0029-8549","author":[{"dropping-particle":"","family":"Bongers","given":"Tom","non-dropping-particle":"","parse-names":false,"suffix":""}],"container-title":"Oecologia","id":"ITEM-1","issue":"1","issued":{"date-parts":[["1990"]]},"page":"14-19","publisher":"Springer","title":"The maturity index: an ecological measure of environmental disturbance based on nematode species composition","type":"article-journal","volume":"83"},"uris":["http://www.mendeley.com/documents/?uuid=ac28d379-c0d6-4b5b-9916-3835705c5ebe"]},{"id":"ITEM-2","itemData":{"ISSN":"0929-1393","author":[{"dropping-particle":"","family":"Ferris","given":"H","non-dropping-particle":"","parse-names":false,"suffix":""},{"dropping-particle":"","family":"Bongers","given":"T","non-dropping-particle":"","parse-names":false,"suffix":""},{"dropping-particle":"","family":"Goede","given":"R G M","non-dropping-particle":"De","parse-names":false,"suffix":""}],"container-title":"Applied soil ecology","id":"ITEM-2","issue":"1","issued":{"date-parts":[["2001"]]},"page":"13-29","publisher":"Elsevier","title":"A framework for soil food web diagnostics: extension of the nematode faunal analysis concept","type":"article-journal","volume":"18"},"uris":["http://www.mendeley.com/documents/?uuid=fa2e103e-1026-4f97-8ea5-6efd04c8db75"]}],"mendeley":{"formattedCitation":"(Bongers, 1990; Ferris et al., 2001)","plainTextFormattedCitation":"(Bongers, 1990; Ferris et al., 2001)","previouslyFormattedCitation":"(Bongers, 1990; Ferris et al., 2001)"},"properties":{"noteIndex":0},"schema":"https://github.com/citation-style-language/schema/raw/master/csl-citation.json"}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1990; Ferris et al., 2001)</w:t>
      </w:r>
      <w:r w:rsidRPr="0023180E">
        <w:rPr>
          <w:rFonts w:ascii="Arial" w:hAnsi="Arial" w:cs="Arial"/>
          <w:sz w:val="22"/>
        </w:rPr>
        <w:fldChar w:fldCharType="end"/>
      </w:r>
      <w:r w:rsidRPr="0023180E">
        <w:rPr>
          <w:rFonts w:ascii="Arial" w:hAnsi="Arial" w:cs="Arial"/>
          <w:sz w:val="22"/>
        </w:rPr>
        <w:t xml:space="preserve">. Although identifying most nematode taxa to the family level may not present significant difficulty to a non-expert, the sheer number of specimens in each extract and the number of extracts requiring examination may preclude carrying out such study beyond local scales.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usual workaround to this constraint caused by nematode densities and sample size is to identify only a given number of randomly selected specimens, usually at least 100 </w:t>
      </w:r>
      <w:r w:rsidRPr="0023180E">
        <w:rPr>
          <w:rFonts w:ascii="Arial" w:hAnsi="Arial" w:cs="Arial"/>
          <w:sz w:val="22"/>
        </w:rPr>
        <w:fldChar w:fldCharType="begin" w:fldLock="1"/>
      </w:r>
      <w:r w:rsidRPr="0023180E">
        <w:rPr>
          <w:rFonts w:ascii="Arial" w:hAnsi="Arial" w:cs="Arial"/>
          <w:sz w:val="22"/>
        </w:rPr>
        <w:instrText>ADDIN CSL_CITATION {"citationItems":[{"id":"ITEM-1","itemData":{"ISSN":"0167-8809","author":[{"dropping-particle":"","family":"Yeates","given":"G W</w:instrText>
      </w:r>
      <w:r w:rsidRPr="0023180E">
        <w:rPr>
          <w:rFonts w:ascii="Arial" w:eastAsia="Microsoft Yi Baiti" w:hAnsi="Arial" w:cs="Arial"/>
          <w:sz w:val="22"/>
        </w:rPr>
        <w:instrText>ꎬ</w:instrText>
      </w:r>
      <w:r w:rsidRPr="0023180E">
        <w:rPr>
          <w:rFonts w:ascii="Arial" w:hAnsi="Arial" w:cs="Arial"/>
          <w:sz w:val="22"/>
        </w:rPr>
        <w:instrText>","non-dropping-particle":"","parse-names":false,"suffix":""},{"dropping-particle":"","family":"Bongers","given":"T","non-dropping-particle":"","parse-names":false,"suffix":""}],"container-title":"Agriculture, Ecosystems &amp; Environment","id":"ITEM-1","issue":"1","issued":{"date-parts":[["1999"]]},"page":"113-135","publisher":"Elsevier","title":"Nematode diversity in agroecosystems","type":"article-journal","volume":"74"},"uris":["http://www.mendeley.com/documents/?uuid=5aca0bb9-8863-4fa7-85d1-c4b5db7a1bc7"]}],"mendeley":{"formattedCitation":"(Yeates and Bongers, 1999)","plainTextFormattedCitation":"(Yeates and Bongers, 1999)","previouslyFormattedCitation":"(Yeates and Bongers, 1999)"},"properties":{"noteIndex":0},"schema":"https://github.com/citation-style-language/schema/raw/master/csl-citation.json"}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(Yeates and Bongers, 1999)</w:t>
      </w:r>
      <w:r w:rsidRPr="0023180E">
        <w:rPr>
          <w:rFonts w:ascii="Arial" w:hAnsi="Arial" w:cs="Arial"/>
          <w:sz w:val="22"/>
        </w:rPr>
        <w:fldChar w:fldCharType="end"/>
      </w:r>
      <w:r w:rsidRPr="0023180E">
        <w:rPr>
          <w:rFonts w:ascii="Arial" w:hAnsi="Arial" w:cs="Arial"/>
          <w:sz w:val="22"/>
        </w:rPr>
        <w:t xml:space="preserve">, from each sample while placing a certain limit to the number of samples taken for each study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{"citationItems":[{"id":"ITEM-1","itemData":{"author":[{"dropping-particle":"","family":"Neher","given":"DEBORAH A","non-dropping-particle":"","parse-names":false,"suffix":""},{"dropping-particle":"","family":"Campbell","given":"C L","non-dropping-particle":"","parse-names":false,"suffix":""}],"container-title":"Journal of Nematology","id":"ITEM-1","issue":"2","issued":{"date-parts":[["1996"]]},"page":"196","publisher":"Society of Nematologists","title":"Sampling for regional monitoring of nematode communities in agricultural soils","type":"article-journal","volume":"28"},"uris":["http://www.mendeley.com/documents/?uuid=91e4c883-890b-4eed-8e93-06e036942945"]}],"mendeley":{"formattedCitation":"(Neher and Campbell, 1996)","plainTextFormattedCitation":"(Neher and Campbell, 1996)","previouslyFormattedCitation":"(Neher and Campbell, 1996)"},"properties":{"noteIndex":0},"schema":"https://github.com/citation-style-language/schema/raw/master/csl-citation.json"}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(Neher and Campbell, 1996)</w:t>
      </w:r>
      <w:r w:rsidRPr="0023180E">
        <w:rPr>
          <w:rFonts w:ascii="Arial" w:hAnsi="Arial" w:cs="Arial"/>
          <w:sz w:val="22"/>
        </w:rPr>
        <w:fldChar w:fldCharType="end"/>
      </w:r>
      <w:r w:rsidRPr="0023180E">
        <w:rPr>
          <w:rFonts w:ascii="Arial" w:hAnsi="Arial" w:cs="Arial"/>
          <w:sz w:val="22"/>
        </w:rPr>
        <w:t xml:space="preserve">. Although this approach of identifying a stipulated number of nematodes also serves as a means of normalising the data, it is a step that should better be done at the statistical analysis stage rather than during the identification because leaving the investigator to decide what specimens to identify can introduce potential bias, which can then lead to false representation of the community. Especially in samples that are taxonomically rich, the sampling depth of 100 may not capture the diversity sufficiently. The outcome of this is a study deficient both in terms of sampling depth for taxa and scale. This can also result in the exclusion of some rare but important taxa in the analysis especially in agricultural fields, where samples can be dominated by one or two plant parasitic taxa, thus resulting in a very low representation of free-living taxa needed for the computation of indices such as MI, EI, BI, SI and CI. By reducing the resolution of the classification to trophic groupings, it is also possible to facilitate the identification process without picking only a fixed </w:t>
      </w:r>
      <w:r w:rsidRPr="0023180E">
        <w:rPr>
          <w:rFonts w:ascii="Arial" w:hAnsi="Arial" w:cs="Arial"/>
          <w:sz w:val="22"/>
        </w:rPr>
        <w:lastRenderedPageBreak/>
        <w:t xml:space="preserve">number of individuals per sample. Despite some favourable arguments put forward to support this approach as providing ecologically and functionally relevant information (Ritz and Trudgill, 1999), adopting it completely precludes the use of most of the indices mentioned earlier since they all require at least family level identification.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use of metabarcoding has the potential to allow for identifying unlimited number of individuals from several samples all in just a single sequencing run. Moreover, because of the high sensitivity of some next generation sequencing (NGS) technology, even those taxa that are represented in low numbers can be detected. Identification to the genus level is routinely obtainable with this technology, assuming all the necessary bioinformatics tools and expertise are available </w:t>
      </w:r>
      <w:r w:rsidRPr="0023180E">
        <w:rPr>
          <w:rFonts w:ascii="Arial" w:hAnsi="Arial" w:cs="Arial"/>
          <w:sz w:val="22"/>
        </w:rPr>
        <w:fldChar w:fldCharType="begin" w:fldLock="1"/>
      </w:r>
      <w:r w:rsidRPr="0023180E">
        <w:rPr>
          <w:rFonts w:ascii="Arial" w:hAnsi="Arial" w:cs="Arial"/>
          <w:sz w:val="22"/>
        </w:rPr>
        <w:instrText>ADDIN CSL_CITATION {"citationItems":[{"id":"ITEM-1","itemData":{"DOI":"10.1111/j.1755-0998.2009.02611.x","ISBN":"1755-0998","ISSN":"1755098X","PMID":"21564930","abstract":"Nematodes play an important role in ecosystem processes, yet the relevance of nematode species diversity to ecology is unknown. Because nematode identification of all individuals at the species level using standard techniques is difficult and time-consuming, nematode communities are not resolved down to the species level, leaving ecological analysis ambiguous. We assessed the suitability of massively parallel sequencing for analysis of nematode diversity from metagenomic samples. We set up four artificial metagenomic samples involving 41 diverse reference nematodes in known abundances. Two samples came from pooling polymerase chain reaction products amplified from single nematode species. Two additional metagenomic samples consisted of amplified products of DNA extracted from pooled nematode species. Amplified products involved two rapidly evolving ~400-bp sections coding for the small and large subunit of rRNA. The total number of reads ranged from 4159 to 14771 per metagenomic sample. Of these, 82% were &gt; 199 bp in length. Among the reads &gt; 199 bp, 86% matched the referenced species with less than three nucleotide differences from a reference sequence. Although neither rDNA section recovered all nematode species, the use of both loci improved the detection level of nematode species from 90 to 97%. Overall, results support the suitability of massively parallel sequencing for identification of nematodes. In contrast, the frequency of reads representing individual species did not correlate with the number of individuals in the metagenomic samples, suggesting that further methodological work is necessary before it will be justified for inferring the relative abundances of species within a nematode community.","author":[{"dropping-particle":"","family":"Porazinska","given":"Dorota L.","non-dropping-particle":"","parse-names":false,"suffix":""},{"dropping-particle":"","family":"Giblin-Davis","given":"Robin M.","non-dropping-particle":"","parse-names":false,"suffix":""},{"dropping-particle":"","family":"Faller","given":"Lina","non-dropping-particle":"","parse-names":false,"suffix":""},{"dropping-particle":"","family":"Farmerie","given":"William","non-dropping-particle":"","parse-names":false,"suffix":""},{"dropping-particle":"","family":"Kanzaki","given":"Natsumi","non-dropping-particle":"","parse-names":false,"suffix":""},{"dropping-particle":"","family":"Morris","given":"Krystalynne","non-dropping-particle":"","parse-names":false,"suffix":""},{"dropping-particle":"","family":"Powers","given":"Thomas O.","non-dropping-particle":"","parse-names":false,"suffix":""},{"dropping-particle":"","family":"Tucker","given":"Abraham E.","non-dropping-particle":"","parse-names":false,"suffix":""},{"dropping-particle":"","family":"Sung","given":"Way","non-dropping-particle":"","parse-names":false,"suffix":""},{"dropping-particle":"","family":"Thomas","given":"W. Kelley","non-dropping-particle":"","parse-names":false,"suffix":""}],"container-title":"Molecular Ecology Resources","id":"ITEM-1","issue":"6","issued":{"date-parts":[["2009"]]},"page":"1439-1450","title":"Evaluating high-throughput sequencing as a method for metagenomic analysis of nematode diversity","type":"article-journal","volume":"9"},"uris":["http://www.mendeley.com/documents/?uuid=cdf49d70-44ab-41a3-b2d3-10df20dcc465"]}],"mendeley":{"formattedCitation":"(Porazinska et al., 2009)","plainTextFormattedCitation":"(Porazinska et al., 2009)","previouslyFormattedCitation":"(Porazinska et al., 2009)"},"properties":{"noteIndex":0},"schema":"https://github.com/citation-style-language/schema/raw/master/csl-citation.json"}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(Porazinska et al., 2009)</w:t>
      </w:r>
      <w:r w:rsidRPr="0023180E">
        <w:rPr>
          <w:rFonts w:ascii="Arial" w:hAnsi="Arial" w:cs="Arial"/>
          <w:sz w:val="22"/>
        </w:rPr>
        <w:fldChar w:fldCharType="end"/>
      </w:r>
      <w:r w:rsidRPr="0023180E">
        <w:rPr>
          <w:rFonts w:ascii="Arial" w:hAnsi="Arial" w:cs="Arial"/>
          <w:sz w:val="22"/>
        </w:rPr>
        <w:t xml:space="preserve">. This method can, therefore, not only increase the speed with which hundreds of environmental samples can be analysed but also reduce the requirement for expert knowledge on how to identify nematode genera or species while still ensuring highly accurate identification.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Despite the promise that metabarcoding holds with regards to nematode community analysis, there is still one important aspect of it that makes its full implementation thus far highly challenging. All the aforementioned indices used as indicators of soil quality require abundance information for their computation. To fully substitute the traditional method, a new tool needs to detect the taxa present in a sample, and also correctly predict the abundances of these taxa. Successful prediction of relative abundance of taxa in mixed samples of any group of organisms studied by metabarcoding is missing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{"citationItems":[{"id":"ITEM-1","itemData":{"author":[{"dropping-particle":"","family":"Edgar","given":"Robert C","non-dropping-particle":"","parse-names":false,"suffix":""}],"container-title":"bioRxiv","id":"ITEM-1","issued":{"date-parts":[["2017"]]},"page":"124149","publisher":"Cold Spring Harbor Labs Journals","title":"UNBIAS: An attempt to correct abundance bias in 16S sequencing, with limited success","type":"article-journal"},"uris":["http://www.mendeley.com/documents/?uuid=30fe995e-b92c-4b9a-82b1-bfbbb10a5da6"]},{"id":"ITEM-2","itemData":{"ISSN":"1365-294X","author":[{"dropping-particle":"","family":"Amend","given":"Anthony S","non-dropping-particle":"","parse-names":false,"suffix":""},{"dropping-particle":"","family":"Seifert","given":"Keith A","non-dropping-particle":"","parse-names":false,"suffix":""},{"dropping-particle":"","family":"Bruns","given":"Thomas D","non-dropping-particle":"","parse-names":false,"suffix":""}],"container-title":"Molecular ecology","id":"ITEM-2","issue":"24","issued":{"date-parts":[["2010"]]},"page":"5555-5565","publisher":"Wiley Online Library","title":"Quantifying microbial communities with 454 pyrosequencing: does read abundance count?","type":"article-journal","volume":"19"},"uris":["http://www.mendeley.com/documents/?uuid=c99bd515-c900-476a-b8dd-53c6ca8e179e"]},{"id":"ITEM-3","itemData":{"DOI":"10.1111/j.1755-0998.2009.02611.x","ISBN":"1755-0998","ISSN":"1755098X","PMID":"21564930","abstract":"Nematodes play an important role in ecosystem processes, yet the relevance of nematode species diversity to ecology is unknown. Because nematode identification of all individuals at the species level using standard techniques is difficult and time-consuming, nematode communities are not resolved down to the species level, leaving ecological analysis ambiguous. We assessed the suitability of massively parallel sequencing for analysis of nematode diversity from metagenomic samples. We set up four artificial metagenomic samples involving 41 diverse reference nematodes in known abundances. Two samples came from pooling polymerase chain reaction products amplified from single nematode species. Two additional metagenomic samples consisted of amplified products of DNA extracted from pooled nematode species. Amplified products involved two rapidly evolving ~400-bp sections coding for the small and large subunit of rRNA. The total number of reads ranged from 4159 to 14771 per metagenomic sample. Of these, 82% were &gt; 199 bp in length. Among the reads &gt; 199 bp, 86% matched the referenced species with less than three nucleotide differences from a reference sequence. Although neither rDNA section recovered all nematode species, the use of both loci improved the detection level of nematode species from 90 to 97%. Overall, results support the suitability of massively parallel sequencing for identification of nematodes. In contrast, the frequency of reads representing individual species did not correlate with the number of individuals in the metagenomic samples, suggesting that further methodological work is necessary before it will be justified for inferring the relative abundances of species within a nematode community.","author":[{"dropping-particle":"","family":"Porazinska","given":"Dorota L.","non-dropping-particle":"","parse-names":false,"suffix":""},{"dropping-particle":"","family":"Giblin-Davis","given":"Robin M.","non-dropping-particle":"","parse-names":false,"suffix":""},{"dropping-particle":"","family":"Faller","given":"Lina","non-dropping-particle":"","parse-names":false,"suffix":""},{"dropping-particle":"","family":"Farmerie","given":"William","non-dropping-particle":"","parse-names":false,"suffix":""},{"dropping-particle":"","family":"Kanzaki","given":"Natsumi","non-dropping-particle":"","parse-names":false,"suffix":""},{"dropping-particle":"","family":"Morris","given":"Krystalynne","non-dropping-particle":"","parse-names":false,"suffix":""},{"dropping-particle":"","family":"Powers","given":"Thomas O.","non-dropping-particle":"","parse-names":false,"suffix":""},{"dropping-particle":"","family":"Tucker","given":"Abraham E.","non-dropping-particle":"","parse-names":false,"suffix":""},{"dropping-particle":"","family":"Sung","given":"Way","non-dropping-particle":"","parse-names":false,"suffix":""},{"dropping-particle":"","family":"Thomas","given":"W. Kelley","non-dropping-particle":"","parse-names":false,"suffix":""}],"container-title":"Molecular Ecology Resources","id":"ITEM-3","issue":"6","issued":{"date-parts":[["2009"]]},"page":"1439-1450","title":"Evaluating high-throughput sequencing as a method for metagenomic analysis of nematode diversity","type":"article-journal","volume":"9"},"uris":["http://www.mendeley.com/documents/?uuid=cdf49d70-44ab-41a3-b2d3-10df20dcc465"]}],"mendeley":{"formattedCitation":"(Amend et al., 2010; Edgar, 2017; Porazinska et al., 2009)","plainTextFormattedCitation":"(Amend et al., 2010; Edgar, 2017; Porazinska et al., 2009)","previouslyFormattedCitation":"(Amend et al., 2010; Edgar, 2017; Porazinska et al., 2009)"},"properties":{"noteIndex":0},"schema":"https://github.com/citation-style-language/schema/raw/master/csl-citation.json"}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(Amend et al., 2010; Edgar, 2017; Porazinska et al., 2009)</w:t>
      </w:r>
      <w:r w:rsidRPr="0023180E">
        <w:rPr>
          <w:rFonts w:ascii="Arial" w:hAnsi="Arial" w:cs="Arial"/>
          <w:sz w:val="22"/>
        </w:rPr>
        <w:fldChar w:fldCharType="end"/>
      </w:r>
      <w:r w:rsidRPr="0023180E">
        <w:rPr>
          <w:rFonts w:ascii="Arial" w:hAnsi="Arial" w:cs="Arial"/>
          <w:sz w:val="22"/>
        </w:rPr>
        <w:t xml:space="preserve">. Due to this, some have suggested that all PCR-dependent assessment of biodiversity should be based solely on presence/absence, and not abundance </w:t>
      </w:r>
      <w:r w:rsidRPr="0023180E">
        <w:rPr>
          <w:rFonts w:ascii="Arial" w:hAnsi="Arial" w:cs="Arial"/>
          <w:sz w:val="22"/>
        </w:rPr>
        <w:fldChar w:fldCharType="begin" w:fldLock="1"/>
      </w:r>
      <w:r w:rsidRPr="0023180E">
        <w:rPr>
          <w:rFonts w:ascii="Arial" w:hAnsi="Arial" w:cs="Arial"/>
          <w:sz w:val="22"/>
        </w:rPr>
        <w:instrText>ADDIN CSL_CITATION {"citationItems":[{"id":"ITEM-1","itemData":{"ISSN":"19326203","abstract":"Metabarcoding is an emerging genetic tool to rapidly assess biodiversity in ecosystems. It involves high-throughput sequencing of a standard gene from an environmental sample and comparison to a reference database. However, no consensus has emerged regarding laboratory pipelines to screen species diversity and infer species abundances from environmental samples. In particular, the effect of primer bias and the detection limit for specimens with a low biomass has not been systematically examined, when processing samples in bulk. We developed and tested a DNA metabarcoding protocol that utilises the standard cytochrome c oxidase subunit I (COI) barcoding fragment to detect freshwater macroinvertebrate taxa. DNA was extracted in bulk, amplified in a single PCR step, and purified, and the libraries were directly sequenced in two independent MiSeq runs (300-bp paired-end reads). Specifically, we assessed the influence of specimen biomass on sequence read abundance by sequencing 31 specimens of a stonefly species with known haplotypes spanning three orders of magnitude in biomass (experiment I). Then, we tested the recovery of 52 different freshwater invertebrate taxa of similar biomass using the same standard barcoding primers (experiment II). Each experiment was replicated ten times to maximise statistical power. The results of both experiments were consistent across replicates. We found a distinct positive correlation between species biomass and resulting numbers of MiSeq reads. Furthermore, we reliably recovered 83% of the 52 taxa used to test primer bias. However, sequence abundance varied by four orders of magnitudes between taxa despite the use of similar amounts of biomass. Our metabarcoding approach yielded reliable results for high-throughput assessments. However, the results indicated that primer efficiency is highly species-specific, which would prevent straightforward assessments of species abundance and biomass in a sample. Thus, PCR-based metabarcoding assessments of biodiversity should rely on presence-absence metrics. [ABSTRACT FROM AUTHOR]","author":[{"dropping-particle":"","family":"Elbrecht","given":"Vasco","non-dropping-particle":"","parse-names":false,"suffix":""},{"dropping-particle":"","family":"Leese","given":"Florian","non-dropping-particle":"","parse-names":false,"suffix":""}],"container-title":"PLoS ONE","id":"ITEM-1","issue":"7","issued":{"date-parts":[["2015","7","8"]]},"note":"Accession Number: 108634085; Elbrecht, Vasco 1; Leese, Florian 1; Email Address: florian.leese@rub.de; Affiliations: 1: Department of Animal Ecology, Evolution and Biodiversity, Ruhr University Bochum, Universitaetsstrasse 150, D-44801 Bochum, Germany; Issue Info: 7/8/2015, Vol. 10 Issue 7, p1; Thesaurus Term: SPECIES diversity; Thesaurus Term: DNA; Thesaurus Term: BIOMASS; Thesaurus Term: GENETIC code; Thesaurus Term: CYTOCHROME oxidase; Thesaurus Term: INVERTEBRATES; Thesaurus Term: ANIMAL diversity; Author-Supplied Keyword: Research Article; Number of Pages: 16p; Document Type: Article","page":"1-16","publisher":"Public Library of Science","title":"Can DNA-Based Ecosystem Assessments Quantify Species Abundance? Testing Primer Bias and Biomass—Sequence Relationships with an Innovative Metabarcoding Protocol.","type":"article-journal","volume":"10"},"uris":["http://www.mendeley.com/documents/?uuid=dbc14f4d-4a4f-4fe2-9d93-09eda2fc532c"]}],"mendeley":{"formattedCitation":"(Elbrecht and Leese, 2015)","plainTextFormattedCitation":"(Elbrecht and Leese, 2015)","previouslyFormattedCitation":"(Elbrecht and Leese,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(Elbrecht and Leese, 2015)</w:t>
      </w:r>
      <w:r w:rsidRPr="0023180E">
        <w:rPr>
          <w:rFonts w:ascii="Arial" w:hAnsi="Arial" w:cs="Arial"/>
          <w:sz w:val="22"/>
        </w:rPr>
        <w:fldChar w:fldCharType="end"/>
      </w:r>
      <w:r w:rsidRPr="0023180E">
        <w:rPr>
          <w:rFonts w:ascii="Arial" w:hAnsi="Arial" w:cs="Arial"/>
          <w:sz w:val="22"/>
        </w:rPr>
        <w:t xml:space="preserv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Criticism of the ability of metabarcoding approaches to quantify taxa within mock or real communities have largely been based on specific taxa, species or genera, and how their read frequencies deviate from their relative abundance </w:t>
      </w:r>
      <w:r w:rsidRPr="0023180E">
        <w:rPr>
          <w:rFonts w:ascii="Arial" w:hAnsi="Arial" w:cs="Arial"/>
          <w:sz w:val="22"/>
        </w:rPr>
        <w:fldChar w:fldCharType="begin" w:fldLock="1"/>
      </w:r>
      <w:r w:rsidR="0023180E" w:rsidRPr="0023180E">
        <w:rPr>
          <w:rFonts w:ascii="Arial" w:hAnsi="Arial" w:cs="Arial"/>
          <w:sz w:val="22"/>
        </w:rPr>
        <w:instrText>ADDIN CSL_CITATION {"citationItems":[{"id":"ITEM-1","itemData":{"DOI":"10.1111/j.1755-0998.2009.02611.x","ISBN":"1755-0998","ISSN":"1755098X","PMID":"21564930","abstract":"Nematodes play an important role in ecosystem processes, yet the relevance of nematode species diversity to ecology is unknown. Because nematode identification of all individuals at the species level using standard techniques is difficult and time-consuming, nematode communities are not resolved down to the species level, leaving ecological analysis ambiguous. We assessed the suitability of massively parallel sequencing for analysis of nematode diversity from metagenomic samples. We set up four artificial metagenomic samples involving 41 diverse reference nematodes in known abundances. Two samples came from pooling polymerase chain reaction products amplified from single nematode species. Two additional metagenomic samples consisted of amplified products of DNA extracted from pooled nematode species. Amplified products involved two rapidly evolving ~400-bp sections coding for the small and large subunit of rRNA. The total number of reads ranged from 4159 to 14771 per metagenomic sample. Of these, 82% were &gt; 199 bp in length. Among the reads &gt; 199 bp, 86% matched the referenced species with less than three nucleotide differences from a reference sequence. Although neither rDNA section recovered all nematode species, the use of both loci improved the detection level of nematode species from 90 to 97%. Overall, results support the suitability of massively parallel sequencing for identification of nematodes. In contrast, the frequency of reads representing individual species did not correlate with the number of individuals in the metagenomic samples, suggesting that further methodological work is necessary before it will be justified for inferring the relative abundances of species within a nematode community.","author":[{"dropping-particle":"","family":"Porazinska","given":"Dorota L.","non-dropping-particle":"","parse-names":false,"suffix":""},{"dropping-particle":"","family":"Giblin-Davis","given":"Robin M.","non-dropping-particle":"","parse-names":false,"suffix":""},{"dropping-particle":"","family":"Faller","given":"Lina","non-dropping-particle":"","parse-names":false,"suffix":""},{"dropping-particle":"","family":"Farmerie","given":"William","non-dropping-particle":"","parse-names":false,"suffix":""},{"dropping-particle":"","family":"Kanzaki","given":"Natsumi","non-dropping-particle":"","parse-names":false,"suffix":""},{"dropping-particle":"","family":"Morris","given":"Krystalynne","non-dropping-particle":"","parse-names":false,"suffix":""},{"dropping-particle":"","family":"Powers","given":"Thomas O.","non-dropping-particle":"","parse-names":false,"suffix":""},{"dropping-particle":"","family":"Tucker","given":"Abraham E.","non-dropping-particle":"","parse-names":false,"suffix":""},{"dropping-particle":"","family":"Sung","given":"Way","non-dropping-particle":"","parse-names":false,"suffix":""},{"dropping-particle":"","family":"Thomas","given":"W. Kelley","non-dropping-particle":"","parse-names":false,"suffix":""}],"container-title":"Molecular Ecology Resources","id":"ITEM-1","issue":"6","issued":{"date-parts":[["2009"]]},"page":"1439-1450","title":"Evaluating high-throughput sequencing as a method for metagenomic analysis of nematode diversity","type":"article-journal","volume":"9"},"uris":["http://www.mendeley.com/documents/?uuid=cdf49d70-44ab-41a3-b2d3-10df20dcc465"]},{"id":"ITEM-2","itemData":{"ISSN":"2041-210X","author":[{"dropping-particle":"","family":"Yu","given":"Douglas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Evolution","id":"ITEM-2","issue":"4","issued":{"date-parts":[["2012"]]},"page":"613-623","publisher":"Wiley Online Library","title":"Biodiversity soup: metabarcoding of arthropods for rapid biodiversity assessment and biomonitoring","type":"article-journal","volume":"3"},"uris":["http://www.mendeley.com/documents/?uuid=38259ef1-266c-4cb9-b2ee-90fb2ad9396b"]}],"mendeley":{"formattedCitation":"(Porazinska et al., 2009; Yu et al., 2012)","manualFormatting":"(Porazinska et al., 2009; Yu et al., 2012; Chapters 3; 5)","plainTextFormattedCitation":"(Porazinska et al., 2009; Yu et al., 2012)","previouslyFormattedCitation":"(Porazinska et al., 2009; Yu et al., 2012)"},"properties":{"noteIndex":0},"schema":"https://github.com/citation-style-language/schema/raw/master/csl-citation.json"}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(Porazinska et al.,</w:t>
      </w:r>
      <w:r w:rsidR="009F65B3">
        <w:rPr>
          <w:rFonts w:ascii="Arial" w:hAnsi="Arial" w:cs="Arial"/>
          <w:noProof/>
          <w:sz w:val="22"/>
        </w:rPr>
        <w:t xml:space="preserve"> 2009; Yu et al., 2012</w:t>
      </w:r>
      <w:r w:rsidRPr="0023180E">
        <w:rPr>
          <w:rFonts w:ascii="Arial" w:hAnsi="Arial" w:cs="Arial"/>
          <w:noProof/>
          <w:sz w:val="22"/>
        </w:rPr>
        <w:t>)</w:t>
      </w:r>
      <w:r w:rsidRPr="0023180E">
        <w:rPr>
          <w:rFonts w:ascii="Arial" w:hAnsi="Arial" w:cs="Arial"/>
          <w:sz w:val="22"/>
        </w:rPr>
        <w:fldChar w:fldCharType="end"/>
      </w:r>
      <w:r w:rsidRPr="0023180E">
        <w:rPr>
          <w:rFonts w:ascii="Arial" w:hAnsi="Arial" w:cs="Arial"/>
          <w:sz w:val="22"/>
        </w:rPr>
        <w:t xml:space="preserve">. Although all the indices used to assess nematode communities depend on abundance data </w:t>
      </w:r>
      <w:r w:rsidRPr="0023180E">
        <w:rPr>
          <w:rFonts w:ascii="Arial" w:hAnsi="Arial" w:cs="Arial"/>
          <w:sz w:val="22"/>
        </w:rPr>
        <w:fldChar w:fldCharType="begin" w:fldLock="1"/>
      </w:r>
      <w:r w:rsidRPr="0023180E">
        <w:rPr>
          <w:rFonts w:ascii="Arial" w:hAnsi="Arial" w:cs="Arial"/>
          <w:sz w:val="22"/>
        </w:rPr>
        <w:instrText>ADDIN CSL_CITATION {"citationItems":[{"id":"ITEM-1","itemData":{"ISSN":"0031-4056","author":[{"dropping-particle":"","family":"Yeates","given":"G W","non-dropping-particle":"","parse-names":false,"suffix":""}],"container-title":"Pedobiologia (Germany)","id":"ITEM-1","issued":{"date-parts":[["1994"]]},"title":"Modification and qualification of the nematode maturity index","type":"article-journal"},"uris":["http://www.mendeley.com/documents/?uuid=4901110e-a7b2-445a-822b-ce7a286513b7"]},{"id":"ITEM-2","itemData":{"author":[{"dropping-particle":"","family":"Bongers","given":"Tom","non-dropping-particle":"","parse-names":false,"suffix":""},{"dropping-particle":"","family":"Goede","given":"Ron G N","non-dropping-particle":"De","parse-names":false,"suffix":""},{"dropping-particle":"","family":"Korthals","given":"Gerard W","non-dropping-particle":"","parse-names":false,"suffix":""},{"dropping-particle":"","family":"Yeates","given":"Gregor W","non-dropping-particle":"","parse-names":false,"suffix":""}],"container-title":"Russian Journal of Nematology","id":"ITEM-2","issued":{"date-parts":[["1995"]]},"title":"Proposed changes of cp classification for nematodes","type":"article-journal"},"uris":["http://www.mendeley.com/documents/?uuid=4afbf874-6ee2-4d78-a4fc-63e79fcc82ac"]},{"id":"ITEM-3","itemData":{"ISSN":"0029-8549","author":[{"dropping-particle":"","family":"Bongers","given":"Tom","non-dropping-particle":"","parse-names":false,"suffix":""}],"container-title":"Oecologia","id":"ITEM-3","issue":"1","issued":{"date-parts":[["1990"]]},"page":"14-19","publisher":"Springer","title":"The maturity index: an ecological measure of environmental disturbance based on nematode species composition","type":"article-journal","volume":"83"},"uris":["http://www.mendeley.com/documents/?uuid=ac28d379-c0d6-4b5b-9916-3835705c5ebe"]},{"id":"ITEM-4","itemData":{"ISSN":"0929-1393","author":[{"dropping-particle":"","family":"Ferris","given":"H","non-dropping-particle":"","parse-names":false,"suffix":""},{"dropping-particle":"","family":"Bongers","given":"T","non-dropping-particle":"","parse-names":false,"suffix":""},{"dropping-particle":"","family":"Goede","given":"R G M","non-dropping-particle":"De","parse-names":false,"suffix":""}],"container-title":"Applied soil ecology","id":"ITEM-4","issue":"1","issued":{"date-parts":[["2001"]]},"page":"13-29","publisher":"Elsevier","title":"A framework for soil food web diagnostics: extension of the nematode faunal analysis concept","type":"article-journal","volume":"18"},"uris":["http://www.mendeley.com/documents/?uuid=fa2e103e-1026-4f97-8ea5-6efd04c8db75"]}],"mendeley":{"formattedCitation":"(Bongers, 1990; Bongers et al., 1995; Ferris et al., 2001; Yeates, 1994)","plainTextFormattedCitation":"(Bongers, 1990; Bongers et al., 1995; Ferris et al., 2001; Yeates, 1994)","previouslyFormattedCitation":"(Bongers, 1990; Bongers et al., 1995; Ferris et al., 2001; Yeates, 1994)"},"properties":{"noteIndex":0},"schema":"https://github.com/citation-style-language/schema/raw/master/csl-citation.json"}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1990; Bongers et al., 1995; Ferris et al., 2001; Yeates, 1994)</w:t>
      </w:r>
      <w:r w:rsidRPr="0023180E">
        <w:rPr>
          <w:rFonts w:ascii="Arial" w:hAnsi="Arial" w:cs="Arial"/>
          <w:sz w:val="22"/>
        </w:rPr>
        <w:fldChar w:fldCharType="end"/>
      </w:r>
      <w:r w:rsidRPr="0023180E">
        <w:rPr>
          <w:rFonts w:ascii="Arial" w:hAnsi="Arial" w:cs="Arial"/>
          <w:sz w:val="22"/>
        </w:rPr>
        <w:t xml:space="preserve">, the required abundance information does not necessarily have to be of the individual taxa. In the case of MI for instance, it is the frequencies of the colonizer-persister groups that are needed for its computation. Similarly, the EI, BI, SI and CI each utilizes abundance information at the functional guild level. In simple terms, a functional guild is a group of taxa with the same feeding habit and life history characteristics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Neher","given":"Deborah","non-dropping-particle":"","parse-names":false,"suffix":""},{"dropping-particle":"","family":"Bongers","given":"Tom","non-dropping-particle":"","parse-names":false,"suffix":""},{"dropping-particle":"","family":"Ferris","given":"Howard","non-dropping-particle":"","parse-names":false,"suffix":""}],"container-title":"Society of nematologists workshop","id":"ITEM-1","issued":{"date-parts":[["2004"]]},"page":"33","title":"Computation of nematode community indices","type":"paper-conference","volume":"2"},"uris":["http://www.mendeley.com/documents/?uuid=aa7150ff-3974-44bc-8e73-73acdacf57a5"]}],"mendeley":{"formattedCitation":"(Neher et al., 2004)","plainTextFormattedCitation":"(Neher et al., 2004)","previouslyFormattedCitation":"(Neher et al., 2004)"},"properties":{"noteIndex":0},"schema":"https://github.com/citation-style-language/schema/raw/master/csl-citation.json"}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(Neher et al., 2004)</w:t>
      </w:r>
      <w:r w:rsidRPr="0023180E">
        <w:rPr>
          <w:rFonts w:ascii="Arial" w:hAnsi="Arial" w:cs="Arial"/>
          <w:sz w:val="22"/>
        </w:rPr>
        <w:fldChar w:fldCharType="end"/>
      </w:r>
      <w:r w:rsidRPr="0023180E">
        <w:rPr>
          <w:rFonts w:ascii="Arial" w:hAnsi="Arial" w:cs="Arial"/>
          <w:sz w:val="22"/>
        </w:rPr>
        <w:t xml:space="preserve">. In view of this, there is a possibility that read numbers obtained from metabarcoding would correlate better at these functional and trophic group levels with their respective actual abundances from morphological identification compared to those obtained for the genera or species. Additionally, </w:t>
      </w:r>
      <w:r w:rsidRPr="0023180E">
        <w:rPr>
          <w:rFonts w:ascii="Arial" w:hAnsi="Arial" w:cs="Arial"/>
          <w:sz w:val="22"/>
        </w:rPr>
        <w:lastRenderedPageBreak/>
        <w:t xml:space="preserve">transformation of the read counts into binary (presence/absence) records have been recommended and successfully used as a means circumventing the lack of correlation between read frequencies and relative abundance </w:t>
      </w:r>
      <w:r w:rsidRPr="0023180E">
        <w:rPr>
          <w:rFonts w:ascii="Arial" w:hAnsi="Arial" w:cs="Arial"/>
          <w:sz w:val="22"/>
        </w:rPr>
        <w:fldChar w:fldCharType="begin" w:fldLock="1"/>
      </w:r>
      <w:r w:rsidRPr="0023180E">
        <w:rPr>
          <w:rFonts w:ascii="Arial" w:hAnsi="Arial" w:cs="Arial"/>
          <w:sz w:val="22"/>
        </w:rPr>
        <w:instrText>ADDIN CSL_CITATION {"citationItems":[{"id":"ITEM-1","itemData":{"ISSN":"1461-0248","author":[{"dropping-particle":"","family":"Ji","given":"Yinqiu","non-dropping-particle":"","parse-names":false,"suffix":""},{"dropping-particle":"","family":"Ashton","given":"Louise","non-dropping-particle":"","parse-names":false,"suffix":""},{"dropping-particle":"","family":"Pedley","given":"Scott M","non-dropping-particle":"","parse-names":false,"suffix":""},{"dropping-particle":"","family":"Edwards","given":"David P","non-dropping-particle":"","parse-names":false,"suffix":""},{"dropping-particle":"","family":"Tang","given":"Yong","non-dropping-particle":"","parse-names":false,"suffix":""},{"dropping-particle":"","family":"Nakamura","given":"Akihiro","non-dropping-particle":"","parse-names":false,"suffix":""},{"dropping-particle":"","family":"Kitching","given":"Roger","non-dropping-particle":"","parse-names":false,"suffix":""},{"dropping-particle":"","family":"Dolman","given":"Paul M","non-dropping-particle":"","parse-names":false,"suffix":""},{"dropping-particle":"","family":"Woodcock","given":"Paul","non-dropping-particle":"","parse-names":false,"suffix":""},{"dropping-particle":"","family":"Edwards","given":"Felicity A","non-dropping-particle":"","parse-names":false,"suffix":""}],"container-title":"Ecology letters","id":"ITEM-1","issue":"10","issued":{"date-parts":[["2013"]]},"page":"1245-1257","publisher":"Wiley Online Library","title":"Reliable, verifiable and efficient monitoring of biodiversity via metabarcoding","type":"article-journal","volume":"16"},"uris":["http://www.mendeley.com/documents/?uuid=06935a79-c154-4d16-99f9-cc6c36ac98de"]},{"id":"ITEM-2","itemData":{"ISSN":"2041-210X","author":[{"dropping-particle":"","family":"Yu","given":"Douglas W","non-dropping-particle":"","parse-names":false,"suffix":""},{"dropping-particle":"","family":"Ji","given":"Yinqiu","non-dropping-particle":"","parse-names":false,"suffix":""},{"dropping-particle":"","family":"Emerson","given":"Brent C","non-dropping-particle":"","parse-names":false,"suffix":""},{"dropping-particle":"","family":"Wang","given":"Xiaoyang","non-dropping-particle":"","parse-names":false,"suffix":""},{"dropping-particle":"","family":"Ye","given":"Chengxi","non-dropping-particle":"","parse-names":false,"suffix":""},{"dropping-particle":"","family":"Yang","given":"Chunyan","non-dropping-particle":"","parse-names":false,"suffix":""},{"dropping-particle":"","family":"Ding","given":"Zhaoli","non-dropping-particle":"","parse-names":false,"suffix":""}],"container-title":"Methods in Ecology and Evolution","id":"ITEM-2","issue":"4","issued":{"date-parts":[["2012"]]},"page":"613-623","publisher":"Wiley Online Library","title":"Biodiversity soup: metabarcoding of arthropods for rapid biodiversity assessment and biomonitoring","type":"article-journal","volume":"3"},"uris":["http://www.mendeley.com/documents/?uuid=38259ef1-266c-4cb9-b2ee-90fb2ad9396b"]}],"mendeley":{"formattedCitation":"(Ji et al., 2013; Yu et al., 2012)","plainTextFormattedCitation":"(Ji et al., 2013; Yu et al., 2012)","previouslyFormattedCitation":"(Ji et al., 2013; Yu et al., 2012)"},"properties":{"noteIndex":0},"schema":"https://github.com/citation-style-language/schema/raw/master/csl-citation.json"}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(Ji et al., 2013; Yu et al., 2012)</w:t>
      </w:r>
      <w:r w:rsidRPr="0023180E">
        <w:rPr>
          <w:rFonts w:ascii="Arial" w:hAnsi="Arial" w:cs="Arial"/>
          <w:sz w:val="22"/>
        </w:rPr>
        <w:fldChar w:fldCharType="end"/>
      </w:r>
      <w:r w:rsidRPr="0023180E">
        <w:rPr>
          <w:rFonts w:ascii="Arial" w:hAnsi="Arial" w:cs="Arial"/>
          <w:sz w:val="22"/>
        </w:rPr>
        <w:t xml:space="preserv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This study is based on the experiment on how tillage and traffic treatments influence the structure of nematode communities in the soil. In the current chapter, the objective was to examine to what extent indices obtained using relative read frequencies of taxa reflect those obtained for the same samples using standard methods of analysis which involved morphology-based identification. Additionally, the impact of different tillage and traffic regimes on nematode community are analysed through metabarcoding. Finally, metabarcoding data obtained from samples taken from the same experiment a year later were used to assess changes in the nematode community during that period. </w:t>
      </w: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Pr="006E1AB1" w:rsidRDefault="00164794" w:rsidP="00164794">
      <w:pPr>
        <w:spacing w:after="120" w:line="360" w:lineRule="auto"/>
        <w:rPr>
          <w:rFonts w:cs="Arial"/>
          <w:sz w:val="22"/>
        </w:rPr>
      </w:pPr>
    </w:p>
    <w:p w:rsidR="00164794" w:rsidRPr="00090615" w:rsidRDefault="00164794" w:rsidP="00164794">
      <w:pPr>
        <w:pStyle w:val="Heading2"/>
        <w:ind w:left="0" w:firstLine="0"/>
      </w:pPr>
      <w:bookmarkStart w:id="4" w:name="_Toc515103941"/>
      <w:r w:rsidRPr="00090615">
        <w:lastRenderedPageBreak/>
        <w:t>Materials and Methods</w:t>
      </w:r>
      <w:bookmarkEnd w:id="4"/>
    </w:p>
    <w:p w:rsidR="00164794" w:rsidRPr="00090615" w:rsidRDefault="00164794" w:rsidP="00164794">
      <w:pPr>
        <w:pStyle w:val="Heading3"/>
        <w:ind w:left="0" w:firstLine="0"/>
      </w:pPr>
      <w:bookmarkStart w:id="5" w:name="_Toc515103942"/>
      <w:r w:rsidRPr="00090615">
        <w:t>Sample preparation</w:t>
      </w:r>
      <w:bookmarkEnd w:id="5"/>
    </w:p>
    <w:p w:rsidR="00164794" w:rsidRPr="0023180E" w:rsidRDefault="00164794" w:rsidP="0023180E">
      <w:pPr>
        <w:spacing w:after="120" w:line="360" w:lineRule="auto"/>
        <w:jc w:val="both"/>
        <w:rPr>
          <w:rFonts w:ascii="Arial" w:hAnsi="Arial" w:cs="Arial"/>
          <w:sz w:val="22"/>
          <w:szCs w:val="22"/>
        </w:rPr>
      </w:pPr>
      <w:r w:rsidRPr="0023180E">
        <w:rPr>
          <w:rFonts w:ascii="Arial" w:hAnsi="Arial" w:cs="Arial"/>
          <w:sz w:val="22"/>
          <w:szCs w:val="22"/>
        </w:rPr>
        <w:t xml:space="preserve">Soil samples were collected in February and March 2016 from the controlled traffic farming experiment at Harper Adams University (52°46.7899’N, 002°25.5236’W). The experiment was set up in four randomised complete blocks of nine treatments. Each treatment is a combination of one of three tillage and one of three traffic systems. The tillage treatments were zero, shallow or deep tillage and the traffic treatments were controlled, random and low ground pressure traffic. </w:t>
      </w:r>
      <w:r w:rsidRPr="009F65B3">
        <w:rPr>
          <w:rFonts w:ascii="Arial" w:hAnsi="Arial" w:cs="Arial"/>
          <w:sz w:val="22"/>
          <w:szCs w:val="22"/>
          <w:highlight w:val="yellow"/>
        </w:rPr>
        <w:t xml:space="preserve">Details of the treatment types have been described in Chapter </w:t>
      </w:r>
      <w:r w:rsidRPr="009F65B3">
        <w:rPr>
          <w:rFonts w:ascii="Arial" w:hAnsi="Arial" w:cs="Arial"/>
          <w:sz w:val="22"/>
          <w:szCs w:val="22"/>
          <w:highlight w:val="yellow"/>
        </w:rPr>
        <w:fldChar w:fldCharType="begin"/>
      </w:r>
      <w:r w:rsidRPr="009F65B3">
        <w:rPr>
          <w:rFonts w:ascii="Arial" w:hAnsi="Arial" w:cs="Arial"/>
          <w:sz w:val="22"/>
          <w:szCs w:val="22"/>
          <w:highlight w:val="yellow"/>
        </w:rPr>
        <w:instrText xml:space="preserve"> REF _Ref509218108 \r \h </w:instrText>
      </w:r>
      <w:r w:rsidR="0023180E" w:rsidRPr="009F65B3">
        <w:rPr>
          <w:rFonts w:ascii="Arial" w:hAnsi="Arial" w:cs="Arial"/>
          <w:sz w:val="22"/>
          <w:szCs w:val="22"/>
          <w:highlight w:val="yellow"/>
        </w:rPr>
        <w:instrText xml:space="preserve"> \* MERGEFORMAT </w:instrText>
      </w:r>
      <w:r w:rsidRPr="009F65B3">
        <w:rPr>
          <w:rFonts w:ascii="Arial" w:hAnsi="Arial" w:cs="Arial"/>
          <w:sz w:val="22"/>
          <w:szCs w:val="22"/>
          <w:highlight w:val="yellow"/>
        </w:rPr>
      </w:r>
      <w:r w:rsidRPr="009F65B3">
        <w:rPr>
          <w:rFonts w:ascii="Arial" w:hAnsi="Arial" w:cs="Arial"/>
          <w:sz w:val="22"/>
          <w:szCs w:val="22"/>
          <w:highlight w:val="yellow"/>
        </w:rPr>
        <w:fldChar w:fldCharType="separate"/>
      </w:r>
      <w:r w:rsidRPr="009F65B3">
        <w:rPr>
          <w:rFonts w:ascii="Arial" w:hAnsi="Arial" w:cs="Arial"/>
          <w:sz w:val="22"/>
          <w:szCs w:val="22"/>
          <w:highlight w:val="yellow"/>
        </w:rPr>
        <w:t>6</w:t>
      </w:r>
      <w:r w:rsidRPr="009F65B3">
        <w:rPr>
          <w:rFonts w:ascii="Arial" w:hAnsi="Arial" w:cs="Arial"/>
          <w:sz w:val="22"/>
          <w:szCs w:val="22"/>
          <w:highlight w:val="yellow"/>
        </w:rPr>
        <w:fldChar w:fldCharType="end"/>
      </w:r>
      <w:r w:rsidRPr="009F65B3">
        <w:rPr>
          <w:rFonts w:ascii="Arial" w:hAnsi="Arial" w:cs="Arial"/>
          <w:sz w:val="22"/>
          <w:szCs w:val="22"/>
          <w:highlight w:val="yellow"/>
        </w:rPr>
        <w:t>.</w:t>
      </w:r>
      <w:r w:rsidRPr="0023180E">
        <w:rPr>
          <w:rFonts w:ascii="Arial" w:hAnsi="Arial" w:cs="Arial"/>
          <w:sz w:val="22"/>
          <w:szCs w:val="22"/>
        </w:rPr>
        <w:t xml:space="preserve"> Samples were taken at three different depths (0-5 cm, 5-15 cm and 15-30 cm) for each of the 36 plots, making a total of 108 samples. Nematodes were extracted from sub-samples of 200g and the extracts concentrated to 10 ml as described in chapter </w:t>
      </w:r>
      <w:r w:rsidRPr="0023180E">
        <w:rPr>
          <w:rFonts w:ascii="Arial" w:hAnsi="Arial" w:cs="Arial"/>
          <w:sz w:val="22"/>
          <w:szCs w:val="22"/>
        </w:rPr>
        <w:fldChar w:fldCharType="begin"/>
      </w:r>
      <w:r w:rsidRPr="0023180E">
        <w:rPr>
          <w:rFonts w:ascii="Arial" w:hAnsi="Arial" w:cs="Arial"/>
          <w:sz w:val="22"/>
          <w:szCs w:val="22"/>
        </w:rPr>
        <w:instrText xml:space="preserve"> REF _Ref509218108 \r \h </w:instrText>
      </w:r>
      <w:r w:rsidR="0023180E">
        <w:rPr>
          <w:rFonts w:ascii="Arial" w:hAnsi="Arial" w:cs="Arial"/>
          <w:sz w:val="22"/>
          <w:szCs w:val="22"/>
        </w:rPr>
        <w:instrText xml:space="preserve"> \* MERGEFORMAT </w:instrText>
      </w:r>
      <w:r w:rsidRPr="0023180E">
        <w:rPr>
          <w:rFonts w:ascii="Arial" w:hAnsi="Arial" w:cs="Arial"/>
          <w:sz w:val="22"/>
          <w:szCs w:val="22"/>
        </w:rPr>
      </w:r>
      <w:r w:rsidRPr="0023180E">
        <w:rPr>
          <w:rFonts w:ascii="Arial" w:hAnsi="Arial" w:cs="Arial"/>
          <w:sz w:val="22"/>
          <w:szCs w:val="22"/>
        </w:rPr>
        <w:fldChar w:fldCharType="separate"/>
      </w:r>
      <w:r w:rsidRPr="0023180E">
        <w:rPr>
          <w:rFonts w:ascii="Arial" w:hAnsi="Arial" w:cs="Arial"/>
          <w:sz w:val="22"/>
          <w:szCs w:val="22"/>
        </w:rPr>
        <w:t>6</w:t>
      </w:r>
      <w:r w:rsidRPr="0023180E">
        <w:rPr>
          <w:rFonts w:ascii="Arial" w:hAnsi="Arial" w:cs="Arial"/>
          <w:sz w:val="22"/>
          <w:szCs w:val="22"/>
        </w:rPr>
        <w:fldChar w:fldCharType="end"/>
      </w:r>
      <w:r w:rsidRPr="0023180E">
        <w:rPr>
          <w:rFonts w:ascii="Arial" w:hAnsi="Arial" w:cs="Arial"/>
          <w:sz w:val="22"/>
          <w:szCs w:val="22"/>
        </w:rPr>
        <w:t xml:space="preserve">. </w:t>
      </w:r>
    </w:p>
    <w:p w:rsidR="00164794" w:rsidRPr="0023180E" w:rsidRDefault="00164794" w:rsidP="0023180E">
      <w:pPr>
        <w:spacing w:after="120" w:line="360" w:lineRule="auto"/>
        <w:jc w:val="both"/>
        <w:rPr>
          <w:rFonts w:ascii="Arial" w:hAnsi="Arial" w:cs="Arial"/>
          <w:sz w:val="22"/>
          <w:szCs w:val="22"/>
        </w:rPr>
      </w:pPr>
      <w:r w:rsidRPr="0023180E">
        <w:rPr>
          <w:rFonts w:ascii="Arial" w:hAnsi="Arial" w:cs="Arial"/>
          <w:sz w:val="22"/>
          <w:szCs w:val="22"/>
        </w:rPr>
        <w:t xml:space="preserve">To determine if there were changes in the nematode community a year later following the sampling that was carried out from February and March 2016, new samples were taken in February 2017 from the top 0-5 cm from the same plots as in 2016. Samples in 2017 were analysed using only metabarcoding. Sampling was limited to a single depth because of time constraint. The 0-5 cm depth was chosen, since prior morphology-based analysis (Chapter </w:t>
      </w:r>
      <w:r w:rsidRPr="0023180E">
        <w:rPr>
          <w:rFonts w:ascii="Arial" w:hAnsi="Arial" w:cs="Arial"/>
          <w:sz w:val="22"/>
          <w:szCs w:val="22"/>
        </w:rPr>
        <w:fldChar w:fldCharType="begin"/>
      </w:r>
      <w:r w:rsidRPr="0023180E">
        <w:rPr>
          <w:rFonts w:ascii="Arial" w:hAnsi="Arial" w:cs="Arial"/>
          <w:sz w:val="22"/>
          <w:szCs w:val="22"/>
        </w:rPr>
        <w:instrText xml:space="preserve"> REF _Ref509218108 \r \h  \* MERGEFORMAT </w:instrText>
      </w:r>
      <w:r w:rsidRPr="0023180E">
        <w:rPr>
          <w:rFonts w:ascii="Arial" w:hAnsi="Arial" w:cs="Arial"/>
          <w:sz w:val="22"/>
          <w:szCs w:val="22"/>
        </w:rPr>
      </w:r>
      <w:r w:rsidRPr="0023180E">
        <w:rPr>
          <w:rFonts w:ascii="Arial" w:hAnsi="Arial" w:cs="Arial"/>
          <w:sz w:val="22"/>
          <w:szCs w:val="22"/>
        </w:rPr>
        <w:fldChar w:fldCharType="separate"/>
      </w:r>
      <w:r w:rsidRPr="0023180E">
        <w:rPr>
          <w:rFonts w:ascii="Arial" w:hAnsi="Arial" w:cs="Arial"/>
          <w:sz w:val="22"/>
          <w:szCs w:val="22"/>
        </w:rPr>
        <w:t>6</w:t>
      </w:r>
      <w:r w:rsidRPr="0023180E">
        <w:rPr>
          <w:rFonts w:ascii="Arial" w:hAnsi="Arial" w:cs="Arial"/>
          <w:sz w:val="22"/>
          <w:szCs w:val="22"/>
        </w:rPr>
        <w:fldChar w:fldCharType="end"/>
      </w:r>
      <w:r w:rsidRPr="0023180E">
        <w:rPr>
          <w:rFonts w:ascii="Arial" w:hAnsi="Arial" w:cs="Arial"/>
          <w:sz w:val="22"/>
          <w:szCs w:val="22"/>
        </w:rPr>
        <w:t>) recorded the highest diversity within this profile.</w:t>
      </w:r>
    </w:p>
    <w:p w:rsidR="00164794" w:rsidRPr="00A52105" w:rsidRDefault="00164794" w:rsidP="00164794">
      <w:pPr>
        <w:spacing w:after="120"/>
      </w:pPr>
    </w:p>
    <w:p w:rsidR="00164794" w:rsidRPr="00090615" w:rsidRDefault="00164794" w:rsidP="00164794">
      <w:pPr>
        <w:pStyle w:val="Heading3"/>
        <w:ind w:left="0" w:firstLine="0"/>
      </w:pPr>
      <w:bookmarkStart w:id="6" w:name="_Toc515103943"/>
      <w:r w:rsidRPr="00090615">
        <w:t>DNA extraction</w:t>
      </w:r>
      <w:bookmarkEnd w:id="6"/>
    </w:p>
    <w:p w:rsidR="00164794" w:rsidRPr="0023180E" w:rsidRDefault="00164794" w:rsidP="0023180E">
      <w:pPr>
        <w:spacing w:line="360" w:lineRule="auto"/>
        <w:jc w:val="both"/>
        <w:rPr>
          <w:rFonts w:ascii="Arial" w:hAnsi="Arial" w:cs="Arial"/>
          <w:sz w:val="22"/>
        </w:rPr>
      </w:pPr>
      <w:r w:rsidRPr="0023180E">
        <w:rPr>
          <w:rFonts w:ascii="Arial" w:hAnsi="Arial" w:cs="Arial"/>
          <w:sz w:val="22"/>
        </w:rPr>
        <w:t xml:space="preserve">For the DNA extraction 1 ml subsample was taken from each of the 10 ml sample extracts and stored at -20°C. DNA extractions were performed on 100 µl aliquots using the Qiagen DNeasy Blood and Tissue Kit. To each sample, 800 µl of Qiagen ATL buffer and 100 µl proteinase K were added before incubation overnight at 56ºC and shaking at </w:t>
      </w:r>
      <w:r w:rsidRPr="0023180E">
        <w:rPr>
          <w:rFonts w:ascii="Arial" w:hAnsi="Arial" w:cs="Arial"/>
          <w:color w:val="000000" w:themeColor="text1"/>
          <w:sz w:val="22"/>
        </w:rPr>
        <w:t xml:space="preserve">109 </w:t>
      </w:r>
      <w:r w:rsidRPr="0023180E">
        <w:rPr>
          <w:rFonts w:ascii="Arial" w:hAnsi="Arial" w:cs="Arial"/>
          <w:sz w:val="22"/>
        </w:rPr>
        <w:t xml:space="preserve">rpm. The genomic DNA extraction followed the manufacturers guide. To maintain the same ratio of proteinase K and other reagents as described in the manufacturer’s protocol, five times the recommended volumes AL and ethanol were added. </w:t>
      </w:r>
    </w:p>
    <w:p w:rsidR="00164794" w:rsidRPr="0023180E" w:rsidRDefault="00164794" w:rsidP="0023180E">
      <w:pPr>
        <w:spacing w:line="360" w:lineRule="auto"/>
        <w:jc w:val="both"/>
        <w:rPr>
          <w:rFonts w:ascii="Arial" w:hAnsi="Arial" w:cs="Arial"/>
          <w:sz w:val="22"/>
        </w:rPr>
      </w:pPr>
    </w:p>
    <w:p w:rsidR="00164794" w:rsidRDefault="00164794" w:rsidP="00164794">
      <w:pPr>
        <w:pStyle w:val="Heading3"/>
        <w:ind w:left="0" w:firstLine="0"/>
      </w:pPr>
      <w:bookmarkStart w:id="7" w:name="_Toc515103944"/>
      <w:r>
        <w:t>PCR and Library Preparation</w:t>
      </w:r>
      <w:bookmarkEnd w:id="7"/>
    </w:p>
    <w:p w:rsidR="00164794" w:rsidRPr="0023180E" w:rsidRDefault="00164794" w:rsidP="0023180E">
      <w:pPr>
        <w:spacing w:after="120" w:line="360" w:lineRule="auto"/>
        <w:jc w:val="both"/>
        <w:rPr>
          <w:rFonts w:ascii="Arial" w:hAnsi="Arial" w:cs="Arial"/>
          <w:sz w:val="22"/>
          <w:szCs w:val="22"/>
        </w:rPr>
      </w:pPr>
      <w:r w:rsidRPr="0023180E">
        <w:rPr>
          <w:rFonts w:ascii="Arial" w:hAnsi="Arial" w:cs="Arial"/>
          <w:sz w:val="22"/>
          <w:szCs w:val="22"/>
        </w:rPr>
        <w:t xml:space="preserve">Polymerase chain reaction was performed on each sample using the primer pairs NF1 5’- </w:t>
      </w:r>
      <w:r w:rsidRPr="0023180E">
        <w:rPr>
          <w:rFonts w:ascii="Arial" w:hAnsi="Arial" w:cs="Arial"/>
          <w:sz w:val="22"/>
          <w:szCs w:val="22"/>
          <w:u w:val="single"/>
        </w:rPr>
        <w:t>TCGTCGGCAGCGTCAGATGTGTATAAGAGACAG</w:t>
      </w:r>
      <w:r w:rsidRPr="0023180E">
        <w:rPr>
          <w:rFonts w:ascii="Arial" w:hAnsi="Arial" w:cs="Arial"/>
          <w:sz w:val="22"/>
          <w:szCs w:val="22"/>
        </w:rPr>
        <w:t>GGTGGTGCATGGCCGTTCTTAGTT-3’) and 18Sr2b (5’-</w:t>
      </w:r>
      <w:r w:rsidRPr="0023180E">
        <w:rPr>
          <w:rFonts w:ascii="Arial" w:hAnsi="Arial" w:cs="Arial"/>
          <w:sz w:val="22"/>
          <w:szCs w:val="22"/>
          <w:u w:val="single"/>
        </w:rPr>
        <w:t>GTCTCGTGGGCTCGGAGATGTGTATAAGAGACAG</w:t>
      </w:r>
      <w:r w:rsidRPr="0023180E">
        <w:rPr>
          <w:rFonts w:ascii="Arial" w:hAnsi="Arial" w:cs="Arial"/>
          <w:sz w:val="22"/>
          <w:szCs w:val="22"/>
        </w:rPr>
        <w:t xml:space="preserve">TA CAAAGGGCAGGGACGTAAT-3’) </w:t>
      </w:r>
      <w:r w:rsidRPr="0023180E">
        <w:rPr>
          <w:rFonts w:ascii="Arial" w:hAnsi="Arial" w:cs="Arial"/>
          <w:sz w:val="22"/>
          <w:szCs w:val="22"/>
        </w:rPr>
        <w:fldChar w:fldCharType="begin" w:fldLock="1"/>
      </w:r>
      <w:r w:rsidRPr="0023180E">
        <w:rPr>
          <w:rFonts w:ascii="Arial" w:hAnsi="Arial" w:cs="Arial"/>
          <w:sz w:val="22"/>
          <w:szCs w:val="22"/>
        </w:rPr>
        <w:instrText>ADDIN CSL_CITATION {"citationItems":[{"id":"ITEM-1","itemData":{"DOI":"10.1111/j.1755-0998.2009.02611.x","ISBN":"1755-0998","ISSN":"1755098X","PMID":"21564930","abstract":"Nematodes play an important role in ecosystem processes, yet the relevance of nematode species diversity to ecology is unknown. Because nematode identification of all individuals at the species level using standard techniques is difficult and time-consuming, nematode communities are not resolved down to the species level, leaving ecological analysis ambiguous. We assessed the suitability of massively parallel sequencing for analysis of nematode diversity from metagenomic samples. We set up four artificial metagenomic samples involving 41 diverse reference nematodes in known abundances. Two samples came from pooling polymerase chain reaction products amplified from single nematode species. Two additional metagenomic samples consisted of amplified products of DNA extracted from pooled nematode species. Amplified products involved two rapidly evolving ~400-bp sections coding for the small and large subunit of rRNA. The total number of reads ranged from 4159 to 14771 per metagenomic sample. Of these, 82% were &gt; 199 bp in length. Among the reads &gt; 199 bp, 86% matched the referenced species with less than three nucleotide differences from a reference sequence. Although neither rDNA section recovered all nematode species, the use of both loci improved the detection level of nematode species from 90 to 97%. Overall, results support the suitability of massively parallel sequencing for identification of nematodes. In contrast, the frequency of reads representing individual species did not correlate with the number of individuals in the metagenomic samples, suggesting that further methodological work is necessary before it will be justified for inferring the relative abundances of species within a nematode community.","author":[{"dropping-particle":"","family":"Porazinska","given":"Dorota L.","non-dropping-particle":"","parse-names":false,"suffix":""},{"dropping-particle":"","family":"Giblin-Davis","given":"Robin M.","non-dropping-particle":"","parse-names":false,"suffix":""},{"dropping-particle":"","family":"Faller","given":"Lina","non-dropping-particle":"","parse-names":false,"suffix":""},{"dropping-particle":"","family":"Farmerie","given":"William","non-dropping-particle":"","parse-names":false,"suffix":""},{"dropping-particle":"","family":"Kanzaki","given":"Natsumi","non-dropping-particle":"","parse-names":false,"suffix":""},{"dropping-particle":"","family":"Morris","given":"Krystalynne","non-dropping-particle":"","parse-names":false,"suffix":""},{"dropping-particle":"","family":"Powers","given":"Thomas O.","non-dropping-particle":"","parse-names":false,"suffix":""},{"dropping-particle":"","family":"Tucker","given":"Abraham E.","non-dropping-particle":"","parse-names":false,"suffix":""},{"dropping-particle":"","family":"Sung","given":"Way","non-dropping-particle":"","parse-names":false,"suffix":""},{"dropping-particle":"","family":"Thomas","given":"W. Kelley","non-dropping-particle":"","parse-names":false,"suffix":""}],"container-title":"Molecular Ecology Resources","id":"ITEM-1","issue":"6","issued":{"date-parts":[["2009"]]},"page":"1439-1450","title":"Evaluating high-throughput sequencing as a method for metagenomic analysis of nematode diversity","type":"article-journal","volume":"9"},"uris":["http://www.mendeley.com/documents/?uuid=cdf49d70-44ab-41a3-b2d3-10df20dcc465"]}],"mendeley":{"formattedCitation":"(Porazinska et al., 2009)","plainTextFormattedCitation":"(Porazinska et al., 2009)","previouslyFormattedCitation":"(Porazinska et al., 2009)"},"properties":{"noteIndex":0},"schema":"https://github.com/citation-style-language/schema/raw/master/csl-citation.json"}</w:instrText>
      </w:r>
      <w:r w:rsidRPr="0023180E">
        <w:rPr>
          <w:rFonts w:ascii="Arial" w:hAnsi="Arial" w:cs="Arial"/>
          <w:sz w:val="22"/>
          <w:szCs w:val="22"/>
        </w:rPr>
        <w:fldChar w:fldCharType="separate"/>
      </w:r>
      <w:r w:rsidRPr="0023180E">
        <w:rPr>
          <w:rFonts w:ascii="Arial" w:hAnsi="Arial" w:cs="Arial"/>
          <w:noProof/>
          <w:sz w:val="22"/>
          <w:szCs w:val="22"/>
        </w:rPr>
        <w:t>(Porazinska et al., 2009)</w:t>
      </w:r>
      <w:r w:rsidRPr="0023180E">
        <w:rPr>
          <w:rFonts w:ascii="Arial" w:hAnsi="Arial" w:cs="Arial"/>
          <w:sz w:val="22"/>
          <w:szCs w:val="22"/>
        </w:rPr>
        <w:fldChar w:fldCharType="end"/>
      </w:r>
      <w:r w:rsidRPr="0023180E">
        <w:rPr>
          <w:rFonts w:ascii="Arial" w:hAnsi="Arial" w:cs="Arial"/>
          <w:sz w:val="22"/>
          <w:szCs w:val="22"/>
        </w:rPr>
        <w:t xml:space="preserve">. The underlined sections of the primer sequences here represent the Illumina adapter sequence. Each reaction tube contained a total of 25 µl reaction mix consisting of 1X Phusion HF buffer (New England Biolabs, Ipswich, MA, USA), 0.2 </w:t>
      </w:r>
      <w:proofErr w:type="spellStart"/>
      <w:r w:rsidRPr="0023180E">
        <w:rPr>
          <w:rFonts w:ascii="Arial" w:hAnsi="Arial" w:cs="Arial"/>
          <w:sz w:val="22"/>
          <w:szCs w:val="22"/>
        </w:rPr>
        <w:t>mM</w:t>
      </w:r>
      <w:proofErr w:type="spellEnd"/>
      <w:r w:rsidRPr="0023180E">
        <w:rPr>
          <w:rFonts w:ascii="Arial" w:hAnsi="Arial" w:cs="Arial"/>
          <w:sz w:val="22"/>
          <w:szCs w:val="22"/>
        </w:rPr>
        <w:t xml:space="preserve"> dNTPs (New England Biolabs), 0.5 µM each of adapter-</w:t>
      </w:r>
      <w:r w:rsidRPr="0023180E">
        <w:rPr>
          <w:rFonts w:ascii="Arial" w:hAnsi="Arial" w:cs="Arial"/>
          <w:sz w:val="22"/>
          <w:szCs w:val="22"/>
        </w:rPr>
        <w:lastRenderedPageBreak/>
        <w:t xml:space="preserve">ligated forward and reverse primers, 1U of Phusion DNA polymerase (New England Biolabs) and 5 µl of template DNA. The PCR programme was set at 98ºC for 2 min, 30 cycles of 98ºC for 20 secs, 66ºC for 45 secs, 72ºC for 45 secs before a final extension step at 72ºC for 5 mins. </w:t>
      </w:r>
    </w:p>
    <w:p w:rsidR="00164794" w:rsidRPr="0023180E" w:rsidRDefault="00164794" w:rsidP="0023180E">
      <w:pPr>
        <w:spacing w:after="120" w:line="360" w:lineRule="auto"/>
        <w:jc w:val="both"/>
        <w:rPr>
          <w:rFonts w:ascii="Arial" w:hAnsi="Arial" w:cs="Arial"/>
          <w:sz w:val="22"/>
          <w:szCs w:val="22"/>
        </w:rPr>
      </w:pPr>
      <w:r w:rsidRPr="0023180E">
        <w:rPr>
          <w:rFonts w:ascii="Arial" w:hAnsi="Arial" w:cs="Arial"/>
          <w:sz w:val="22"/>
          <w:szCs w:val="22"/>
        </w:rPr>
        <w:t xml:space="preserve">Amplicons were purified using </w:t>
      </w:r>
      <w:proofErr w:type="spellStart"/>
      <w:r w:rsidRPr="0023180E">
        <w:rPr>
          <w:rFonts w:ascii="Arial" w:hAnsi="Arial" w:cs="Arial"/>
          <w:sz w:val="22"/>
          <w:szCs w:val="22"/>
        </w:rPr>
        <w:t>Ampure</w:t>
      </w:r>
      <w:proofErr w:type="spellEnd"/>
      <w:r w:rsidRPr="0023180E">
        <w:rPr>
          <w:rFonts w:ascii="Arial" w:hAnsi="Arial" w:cs="Arial"/>
          <w:sz w:val="22"/>
          <w:szCs w:val="22"/>
        </w:rPr>
        <w:t xml:space="preserve"> XP Beads (</w:t>
      </w:r>
      <w:proofErr w:type="spellStart"/>
      <w:r w:rsidRPr="0023180E">
        <w:rPr>
          <w:rFonts w:ascii="Arial" w:hAnsi="Arial" w:cs="Arial"/>
          <w:sz w:val="22"/>
          <w:szCs w:val="22"/>
        </w:rPr>
        <w:t>Bechman</w:t>
      </w:r>
      <w:proofErr w:type="spellEnd"/>
      <w:r w:rsidRPr="0023180E">
        <w:rPr>
          <w:rFonts w:ascii="Arial" w:hAnsi="Arial" w:cs="Arial"/>
          <w:sz w:val="22"/>
          <w:szCs w:val="22"/>
        </w:rPr>
        <w:t xml:space="preserve"> Coulter, Inc. USA) and quantified using a </w:t>
      </w:r>
      <w:proofErr w:type="spellStart"/>
      <w:r w:rsidRPr="0023180E">
        <w:rPr>
          <w:rFonts w:ascii="Arial" w:hAnsi="Arial" w:cs="Arial"/>
          <w:sz w:val="22"/>
          <w:szCs w:val="22"/>
        </w:rPr>
        <w:t>Thermo</w:t>
      </w:r>
      <w:proofErr w:type="spellEnd"/>
      <w:r w:rsidRPr="0023180E">
        <w:rPr>
          <w:rFonts w:ascii="Arial" w:hAnsi="Arial" w:cs="Arial"/>
          <w:sz w:val="22"/>
          <w:szCs w:val="22"/>
        </w:rPr>
        <w:t xml:space="preserve"> Scientific™ </w:t>
      </w:r>
      <w:proofErr w:type="spellStart"/>
      <w:r w:rsidRPr="0023180E">
        <w:rPr>
          <w:rFonts w:ascii="Arial" w:hAnsi="Arial" w:cs="Arial"/>
          <w:sz w:val="22"/>
          <w:szCs w:val="22"/>
        </w:rPr>
        <w:t>Fluoroskan</w:t>
      </w:r>
      <w:proofErr w:type="spellEnd"/>
      <w:r w:rsidRPr="0023180E">
        <w:rPr>
          <w:rFonts w:ascii="Arial" w:hAnsi="Arial" w:cs="Arial"/>
          <w:sz w:val="22"/>
          <w:szCs w:val="22"/>
        </w:rPr>
        <w:t xml:space="preserve"> Ascent™ Microplate Fluorometer (</w:t>
      </w:r>
      <w:proofErr w:type="spellStart"/>
      <w:r w:rsidRPr="0023180E">
        <w:rPr>
          <w:rFonts w:ascii="Arial" w:hAnsi="Arial" w:cs="Arial"/>
          <w:sz w:val="22"/>
          <w:szCs w:val="22"/>
        </w:rPr>
        <w:t>Thermo</w:t>
      </w:r>
      <w:proofErr w:type="spellEnd"/>
      <w:r w:rsidRPr="0023180E">
        <w:rPr>
          <w:rFonts w:ascii="Arial" w:hAnsi="Arial" w:cs="Arial"/>
          <w:sz w:val="22"/>
          <w:szCs w:val="22"/>
        </w:rPr>
        <w:t xml:space="preserve"> Fisher Scientific, Wilmington, DE, USA). This was then followed by the index PCR step where unique dual indices and the sequencing adapters were attached to each amplicon using </w:t>
      </w:r>
      <w:proofErr w:type="spellStart"/>
      <w:r w:rsidRPr="0023180E">
        <w:rPr>
          <w:rFonts w:ascii="Arial" w:hAnsi="Arial" w:cs="Arial"/>
          <w:sz w:val="22"/>
          <w:szCs w:val="22"/>
        </w:rPr>
        <w:t>Nextera</w:t>
      </w:r>
      <w:proofErr w:type="spellEnd"/>
      <w:r w:rsidRPr="0023180E">
        <w:rPr>
          <w:rFonts w:ascii="Arial" w:hAnsi="Arial" w:cs="Arial"/>
          <w:sz w:val="22"/>
          <w:szCs w:val="22"/>
        </w:rPr>
        <w:t xml:space="preserve"> XT index primers (Illumina </w:t>
      </w:r>
      <w:proofErr w:type="spellStart"/>
      <w:r w:rsidRPr="0023180E">
        <w:rPr>
          <w:rFonts w:ascii="Arial" w:hAnsi="Arial" w:cs="Arial"/>
          <w:sz w:val="22"/>
          <w:szCs w:val="22"/>
        </w:rPr>
        <w:t>inc.</w:t>
      </w:r>
      <w:proofErr w:type="spellEnd"/>
      <w:r w:rsidRPr="0023180E">
        <w:rPr>
          <w:rFonts w:ascii="Arial" w:hAnsi="Arial" w:cs="Arial"/>
          <w:sz w:val="22"/>
          <w:szCs w:val="22"/>
        </w:rPr>
        <w:t xml:space="preserve"> San Diego, CA, USA) for amplification (</w:t>
      </w:r>
      <w:r w:rsidRPr="0023180E">
        <w:rPr>
          <w:rFonts w:ascii="Arial" w:hAnsi="Arial" w:cs="Arial"/>
          <w:sz w:val="22"/>
          <w:szCs w:val="22"/>
          <w:lang w:val="en-US"/>
        </w:rPr>
        <w:t>Illumina’s 16S Metagenomic Sequencing Library Preparation protocol</w:t>
      </w:r>
      <w:r w:rsidRPr="0023180E">
        <w:rPr>
          <w:rFonts w:ascii="Arial" w:hAnsi="Arial" w:cs="Arial"/>
          <w:sz w:val="22"/>
          <w:szCs w:val="22"/>
        </w:rPr>
        <w:t xml:space="preserve">). The reaction conditions for this were: 98ºC for 3 min, 8 cycles of 98ºC for 30 secs, 55ºC for 30 secs, 72ºC for 30 secs and a final extension step at 72ºC for 5 mins. The products were purified again, quantified using the Microplate Fluorometer and pooled according to their molarity. Length of the amplicons in the pooled sample was verified on the Agilent 2200 </w:t>
      </w:r>
      <w:proofErr w:type="spellStart"/>
      <w:r w:rsidRPr="0023180E">
        <w:rPr>
          <w:rFonts w:ascii="Arial" w:hAnsi="Arial" w:cs="Arial"/>
          <w:sz w:val="22"/>
          <w:szCs w:val="22"/>
        </w:rPr>
        <w:t>TapeStation</w:t>
      </w:r>
      <w:proofErr w:type="spellEnd"/>
      <w:r w:rsidRPr="0023180E">
        <w:rPr>
          <w:rFonts w:ascii="Arial" w:hAnsi="Arial" w:cs="Arial"/>
          <w:sz w:val="22"/>
          <w:szCs w:val="22"/>
        </w:rPr>
        <w:t xml:space="preserve"> (Agilent Technologies, Santa Clara, CA, USA). The pool was quantified and diluted to 4 </w:t>
      </w:r>
      <w:proofErr w:type="spellStart"/>
      <w:r w:rsidRPr="0023180E">
        <w:rPr>
          <w:rFonts w:ascii="Arial" w:hAnsi="Arial" w:cs="Arial"/>
          <w:sz w:val="22"/>
          <w:szCs w:val="22"/>
        </w:rPr>
        <w:t>nM</w:t>
      </w:r>
      <w:proofErr w:type="spellEnd"/>
      <w:r w:rsidRPr="0023180E">
        <w:rPr>
          <w:rFonts w:ascii="Arial" w:hAnsi="Arial" w:cs="Arial"/>
          <w:sz w:val="22"/>
          <w:szCs w:val="22"/>
        </w:rPr>
        <w:t xml:space="preserve"> concentration. Using the Illumina protocol, the pool was denatured by mixing with 0.2N </w:t>
      </w:r>
      <w:proofErr w:type="spellStart"/>
      <w:r w:rsidRPr="0023180E">
        <w:rPr>
          <w:rFonts w:ascii="Arial" w:hAnsi="Arial" w:cs="Arial"/>
          <w:sz w:val="22"/>
          <w:szCs w:val="22"/>
        </w:rPr>
        <w:t>NaOH</w:t>
      </w:r>
      <w:proofErr w:type="spellEnd"/>
      <w:r w:rsidRPr="0023180E">
        <w:rPr>
          <w:rFonts w:ascii="Arial" w:hAnsi="Arial" w:cs="Arial"/>
          <w:sz w:val="22"/>
          <w:szCs w:val="22"/>
        </w:rPr>
        <w:t>. 10</w:t>
      </w:r>
      <w:r w:rsidR="009F65B3">
        <w:rPr>
          <w:rFonts w:ascii="Arial" w:hAnsi="Arial" w:cs="Arial"/>
          <w:sz w:val="22"/>
          <w:szCs w:val="22"/>
        </w:rPr>
        <w:t>%</w:t>
      </w:r>
      <w:r w:rsidRPr="0023180E">
        <w:rPr>
          <w:rFonts w:ascii="Arial" w:hAnsi="Arial" w:cs="Arial"/>
          <w:sz w:val="22"/>
          <w:szCs w:val="22"/>
        </w:rPr>
        <w:t xml:space="preserve"> denatured </w:t>
      </w:r>
      <w:proofErr w:type="spellStart"/>
      <w:r w:rsidRPr="0023180E">
        <w:rPr>
          <w:rFonts w:ascii="Arial" w:hAnsi="Arial" w:cs="Arial"/>
          <w:sz w:val="22"/>
          <w:szCs w:val="22"/>
        </w:rPr>
        <w:t>PhiX</w:t>
      </w:r>
      <w:proofErr w:type="spellEnd"/>
      <w:r w:rsidRPr="0023180E">
        <w:rPr>
          <w:rFonts w:ascii="Arial" w:hAnsi="Arial" w:cs="Arial"/>
          <w:sz w:val="22"/>
          <w:szCs w:val="22"/>
        </w:rPr>
        <w:t xml:space="preserve"> control library was added to the denatured pool to introduce diversity. The mixture was incubated for 2 min at 96ºC and immediately put on ice, before being loaded on a </w:t>
      </w:r>
      <w:proofErr w:type="spellStart"/>
      <w:r w:rsidRPr="0023180E">
        <w:rPr>
          <w:rFonts w:ascii="Arial" w:hAnsi="Arial" w:cs="Arial"/>
          <w:sz w:val="22"/>
          <w:szCs w:val="22"/>
        </w:rPr>
        <w:t>MiSeq</w:t>
      </w:r>
      <w:proofErr w:type="spellEnd"/>
      <w:r w:rsidRPr="0023180E">
        <w:rPr>
          <w:rFonts w:ascii="Arial" w:hAnsi="Arial" w:cs="Arial"/>
          <w:sz w:val="22"/>
          <w:szCs w:val="22"/>
        </w:rPr>
        <w:t xml:space="preserve"> machine (Illumina) for sequencing. The sample was sequenced at Fera (York, UK) in a paired-end approach using a V3 run kit and 2 x 300 cycles.</w:t>
      </w:r>
    </w:p>
    <w:p w:rsidR="00164794" w:rsidRPr="00A36255" w:rsidRDefault="00164794" w:rsidP="00164794">
      <w:pPr>
        <w:spacing w:line="360" w:lineRule="auto"/>
        <w:rPr>
          <w:rFonts w:cs="Arial"/>
          <w:sz w:val="22"/>
          <w:szCs w:val="22"/>
        </w:rPr>
      </w:pPr>
    </w:p>
    <w:p w:rsidR="00164794" w:rsidRDefault="00164794" w:rsidP="00164794">
      <w:pPr>
        <w:pStyle w:val="Heading3"/>
        <w:ind w:left="0" w:firstLine="0"/>
      </w:pPr>
      <w:bookmarkStart w:id="8" w:name="_Ref514709915"/>
      <w:bookmarkStart w:id="9" w:name="_Toc515103945"/>
      <w:r>
        <w:t>Bioinformatic Analysis</w:t>
      </w:r>
      <w:bookmarkEnd w:id="8"/>
      <w:bookmarkEnd w:id="9"/>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sequence reads were demultiplexed by the </w:t>
      </w:r>
      <w:proofErr w:type="spellStart"/>
      <w:r w:rsidRPr="0023180E">
        <w:rPr>
          <w:rFonts w:ascii="Arial" w:hAnsi="Arial" w:cs="Arial"/>
          <w:sz w:val="22"/>
        </w:rPr>
        <w:t>MiSeq</w:t>
      </w:r>
      <w:proofErr w:type="spellEnd"/>
      <w:r w:rsidRPr="0023180E">
        <w:rPr>
          <w:rFonts w:ascii="Arial" w:hAnsi="Arial" w:cs="Arial"/>
          <w:sz w:val="22"/>
        </w:rPr>
        <w:t xml:space="preserve"> Reporter software on the </w:t>
      </w:r>
      <w:proofErr w:type="spellStart"/>
      <w:r w:rsidRPr="0023180E">
        <w:rPr>
          <w:rFonts w:ascii="Arial" w:hAnsi="Arial" w:cs="Arial"/>
          <w:sz w:val="22"/>
        </w:rPr>
        <w:t>MiSeq</w:t>
      </w:r>
      <w:proofErr w:type="spellEnd"/>
      <w:r w:rsidRPr="0023180E">
        <w:rPr>
          <w:rFonts w:ascii="Arial" w:hAnsi="Arial" w:cs="Arial"/>
          <w:sz w:val="22"/>
        </w:rPr>
        <w:t xml:space="preserve"> sequencer into the individual samples based on the paired </w:t>
      </w:r>
      <w:proofErr w:type="spellStart"/>
      <w:r w:rsidRPr="0023180E">
        <w:rPr>
          <w:rFonts w:ascii="Arial" w:hAnsi="Arial" w:cs="Arial"/>
          <w:sz w:val="22"/>
        </w:rPr>
        <w:t>nextera</w:t>
      </w:r>
      <w:proofErr w:type="spellEnd"/>
      <w:r w:rsidRPr="0023180E">
        <w:rPr>
          <w:rFonts w:ascii="Arial" w:hAnsi="Arial" w:cs="Arial"/>
          <w:sz w:val="22"/>
        </w:rPr>
        <w:t xml:space="preserve"> indexes used- applying default settings. All subsequent analyses were carried out using the USEARCH pipeline </w:t>
      </w:r>
      <w:r w:rsidRPr="0023180E">
        <w:rPr>
          <w:rFonts w:ascii="Arial" w:hAnsi="Arial" w:cs="Arial"/>
          <w:sz w:val="22"/>
        </w:rPr>
        <w:fldChar w:fldCharType="begin" w:fldLock="1"/>
      </w:r>
      <w:r w:rsidRPr="0023180E">
        <w:rPr>
          <w:rFonts w:ascii="Arial" w:hAnsi="Arial" w:cs="Arial"/>
          <w:sz w:val="22"/>
        </w:rPr>
        <w:instrText>ADDIN CSL_CITATION {"citationItems":[{"id":"ITEM-1","itemData":{"DOI":"10.1093/bioinformatics/btq461","ISBN":"1367-4811 (Electronic)\\r1367-4803 (Linking)","ISSN":"13674803","PMID":"20709691","abstract":"Biological sequence data is accumulating rapidly, motivating the development of improved high-throughput methods for sequence classification.","author":[{"dropping-particle":"","family":"Edgar","given":"Robert C.","non-dropping-particle":"","parse-names":false,"suffix":""}],"container-title":"Bioinformatics","id":"ITEM-1","issue":"19","issued":{"date-parts":[["2010"]]},"page":"2460-2461","title":"Search and clustering orders of magnitude faster than BLAST","type":"article-journal","volume":"26"},"uris":["http://www.mendeley.com/documents/?uuid=4f25d118-e01f-4d5a-8507-fedf92f637ab"]}],"mendeley":{"formattedCitation":"(Edgar, 2010)","plainTextFormattedCitation":"(Edgar, 2010)","previouslyFormattedCitation":"(Edgar, 2010)"},"properties":{"noteIndex":0},"schema":"https://github.com/citation-style-language/schema/raw/master/csl-citation.json"}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(Edgar, 2010)</w:t>
      </w:r>
      <w:r w:rsidRPr="0023180E">
        <w:rPr>
          <w:rFonts w:ascii="Arial" w:hAnsi="Arial" w:cs="Arial"/>
          <w:sz w:val="22"/>
        </w:rPr>
        <w:fldChar w:fldCharType="end"/>
      </w:r>
      <w:r w:rsidRPr="0023180E">
        <w:rPr>
          <w:rFonts w:ascii="Arial" w:hAnsi="Arial" w:cs="Arial"/>
          <w:sz w:val="22"/>
        </w:rPr>
        <w:t xml:space="preserve">. Initial attempts at merging the paired reads using the command </w:t>
      </w:r>
      <w:proofErr w:type="spellStart"/>
      <w:r w:rsidRPr="0023180E">
        <w:rPr>
          <w:rFonts w:ascii="Arial" w:hAnsi="Arial" w:cs="Arial"/>
          <w:i/>
          <w:sz w:val="22"/>
        </w:rPr>
        <w:t>fastq_mergepairs</w:t>
      </w:r>
      <w:proofErr w:type="spellEnd"/>
      <w:r w:rsidRPr="0023180E">
        <w:rPr>
          <w:rFonts w:ascii="Arial" w:hAnsi="Arial" w:cs="Arial"/>
          <w:i/>
          <w:sz w:val="22"/>
        </w:rPr>
        <w:t xml:space="preserve"> </w:t>
      </w:r>
      <w:r w:rsidRPr="0023180E">
        <w:rPr>
          <w:rFonts w:ascii="Arial" w:hAnsi="Arial" w:cs="Arial"/>
          <w:sz w:val="22"/>
        </w:rPr>
        <w:t xml:space="preserve">in USEARCH resulted in a significant amount of data failing to merge. The forward reads alone were used for subsequent analysis due to superior quality similar to the approach adopted by </w:t>
      </w:r>
      <w:r w:rsidRPr="0023180E">
        <w:rPr>
          <w:rFonts w:ascii="Arial" w:hAnsi="Arial" w:cs="Arial"/>
          <w:sz w:val="22"/>
        </w:rPr>
        <w:fldChar w:fldCharType="begin" w:fldLock="1"/>
      </w:r>
      <w:r w:rsidRPr="0023180E">
        <w:rPr>
          <w:rFonts w:ascii="Arial" w:hAnsi="Arial" w:cs="Arial"/>
          <w:sz w:val="22"/>
        </w:rPr>
        <w:instrText>ADDIN CSL_CITATION {"citationItems":[{"id":"ITEM-1","itemData":{"ISSN":"1932-6203","author":[{"dropping-particle":"","family":"Unterseher","given":"Martin","non-dropping-particle":"","parse-names":false,"suffix":""},{"dropping-particle":"","family":"Siddique","given":"Abu Bakar","non-dropping-particle":"","parse-names":false,"suffix":""},{"dropping-particle":"","family":"Brachmann","given":"Andreas","non-dropping-particle":"","parse-names":false,"suffix":""},{"dropping-particle":"","family":"Peršoh","given":"Derek","non-dropping-particle":"","parse-names":false,"suffix":""}],"container-title":"PloS one","id":"ITEM-1","issue":"4","issued":{"date-parts":[["2016"]]},"page":"e0152878","publisher":"Public Library of Science","title":"Diversity and composition of the leaf mycobiome of beech (Fagus sylvatica) are affected by local habitat conditions and leaf biochemistry","type":"article-journal","volume":"11"},"uris":["http://www.mendeley.com/documents/?uuid=fc4f2ae0-3200-41d2-969f-bcc6d23a84d9"]}],"mendeley":{"formattedCitation":"(Unterseher et al., 2016)","manualFormatting":"Unterseher et al. (2016)","plainTextFormattedCitation":"(Unterseher et al., 2016)","previouslyFormattedCitation":"(Unterseher et al., 2016)"},"properties":{"noteIndex":0},"schema":"https://github.com/citation-style-language/schema/raw/master/csl-citation.json"}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Unterseher et al. (2016)</w:t>
      </w:r>
      <w:r w:rsidRPr="0023180E">
        <w:rPr>
          <w:rFonts w:ascii="Arial" w:hAnsi="Arial" w:cs="Arial"/>
          <w:sz w:val="22"/>
        </w:rPr>
        <w:fldChar w:fldCharType="end"/>
      </w:r>
      <w:r w:rsidRPr="0023180E">
        <w:rPr>
          <w:rFonts w:ascii="Arial" w:hAnsi="Arial" w:cs="Arial"/>
          <w:sz w:val="22"/>
        </w:rPr>
        <w:t xml:space="preserve">.  For each of the samples, reads were first trimmed to 200 </w:t>
      </w:r>
      <w:proofErr w:type="spellStart"/>
      <w:r w:rsidRPr="0023180E">
        <w:rPr>
          <w:rFonts w:ascii="Arial" w:hAnsi="Arial" w:cs="Arial"/>
          <w:sz w:val="22"/>
        </w:rPr>
        <w:t>bp</w:t>
      </w:r>
      <w:proofErr w:type="spellEnd"/>
      <w:r w:rsidRPr="0023180E">
        <w:rPr>
          <w:rFonts w:ascii="Arial" w:hAnsi="Arial" w:cs="Arial"/>
          <w:sz w:val="22"/>
        </w:rPr>
        <w:t xml:space="preserve"> from the 3’ end, while at the same time removing primer sequences with the command </w:t>
      </w:r>
      <w:proofErr w:type="spellStart"/>
      <w:r w:rsidRPr="0023180E">
        <w:rPr>
          <w:rFonts w:ascii="Arial" w:hAnsi="Arial" w:cs="Arial"/>
          <w:i/>
          <w:sz w:val="22"/>
        </w:rPr>
        <w:t>fastx_truncate</w:t>
      </w:r>
      <w:proofErr w:type="spellEnd"/>
      <w:r w:rsidRPr="0023180E">
        <w:rPr>
          <w:rFonts w:ascii="Arial" w:hAnsi="Arial" w:cs="Arial"/>
          <w:sz w:val="22"/>
        </w:rPr>
        <w:t xml:space="preserve">. The truncated reads were then used to pass the command, </w:t>
      </w:r>
      <w:proofErr w:type="spellStart"/>
      <w:r w:rsidRPr="0023180E">
        <w:rPr>
          <w:rFonts w:ascii="Arial" w:hAnsi="Arial" w:cs="Arial"/>
          <w:i/>
          <w:sz w:val="22"/>
        </w:rPr>
        <w:t>fastq_filter</w:t>
      </w:r>
      <w:proofErr w:type="spellEnd"/>
      <w:r w:rsidRPr="0023180E">
        <w:rPr>
          <w:rFonts w:ascii="Arial" w:hAnsi="Arial" w:cs="Arial"/>
          <w:sz w:val="22"/>
        </w:rPr>
        <w:t xml:space="preserve"> which filtered out reads with expected errors of more than 1 </w:t>
      </w:r>
      <w:r w:rsidRPr="0023180E">
        <w:rPr>
          <w:rFonts w:ascii="Arial" w:hAnsi="Arial" w:cs="Arial"/>
          <w:sz w:val="22"/>
        </w:rPr>
        <w:fldChar w:fldCharType="begin" w:fldLock="1"/>
      </w:r>
      <w:r w:rsidRPr="0023180E">
        <w:rPr>
          <w:rFonts w:ascii="Arial" w:hAnsi="Arial" w:cs="Arial"/>
          <w:sz w:val="22"/>
        </w:rPr>
        <w:instrText>ADDIN CSL_CITATION {"citationItems":[{"id":"ITEM-1","itemData":{"ISSN":"1460-2059","author":[{"dropping-particle":"","family":"Edgar","given":"Robert C","non-dropping-particle":"","parse-names":false,"suffix":""},{"dropping-particle":"","family":"Flyvbjerg","given":"Henrik","non-dropping-particle":"","parse-names":false,"suffix":""}],"container-title":"Bioinformatics","id":"ITEM-1","issue":"21","issued":{"date-parts":[["2015"]]},"page":"3476-3482","publisher":"Oxford University Press","title":"Error filtering, pair assembly and error correction for next-generation sequencing reads","type":"article-journal","volume":"31"},"uris":["http://www.mendeley.com/documents/?uuid=002cd810-2bdc-431a-a7ed-437040681562"]}],"mendeley":{"formattedCitation":"(Edgar and Flyvbjerg, 2015)","plainTextFormattedCitation":"(Edgar and Flyvbjerg, 2015)","previouslyFormattedCitation":"(Edgar and Flyvbjerg,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(Edgar and Flyvbjerg, 2015)</w:t>
      </w:r>
      <w:r w:rsidRPr="0023180E">
        <w:rPr>
          <w:rFonts w:ascii="Arial" w:hAnsi="Arial" w:cs="Arial"/>
          <w:sz w:val="22"/>
        </w:rPr>
        <w:fldChar w:fldCharType="end"/>
      </w:r>
      <w:r w:rsidRPr="0023180E">
        <w:rPr>
          <w:rFonts w:ascii="Arial" w:hAnsi="Arial" w:cs="Arial"/>
          <w:sz w:val="22"/>
        </w:rPr>
        <w:t xml:space="preserve"> and at the same time converted the files from </w:t>
      </w:r>
      <w:proofErr w:type="spellStart"/>
      <w:r w:rsidRPr="0023180E">
        <w:rPr>
          <w:rFonts w:ascii="Arial" w:hAnsi="Arial" w:cs="Arial"/>
          <w:sz w:val="22"/>
        </w:rPr>
        <w:t>fastq</w:t>
      </w:r>
      <w:proofErr w:type="spellEnd"/>
      <w:r w:rsidRPr="0023180E">
        <w:rPr>
          <w:rFonts w:ascii="Arial" w:hAnsi="Arial" w:cs="Arial"/>
          <w:sz w:val="22"/>
        </w:rPr>
        <w:t xml:space="preserve"> to fasta formats. The filtered reads of all samples were then combined into one file. The command, </w:t>
      </w:r>
      <w:proofErr w:type="spellStart"/>
      <w:r w:rsidRPr="0023180E">
        <w:rPr>
          <w:rFonts w:ascii="Arial" w:hAnsi="Arial" w:cs="Arial"/>
          <w:i/>
          <w:sz w:val="22"/>
        </w:rPr>
        <w:t>fastx_uniques</w:t>
      </w:r>
      <w:proofErr w:type="spellEnd"/>
      <w:r w:rsidRPr="0023180E">
        <w:rPr>
          <w:rFonts w:ascii="Arial" w:hAnsi="Arial" w:cs="Arial"/>
          <w:sz w:val="22"/>
        </w:rPr>
        <w:t xml:space="preserve"> was used to reduce the sequences to unique individual sequences. Clustering was done on the unique sequences at 97% sequence similarity using </w:t>
      </w:r>
      <w:proofErr w:type="spellStart"/>
      <w:r w:rsidRPr="0023180E">
        <w:rPr>
          <w:rFonts w:ascii="Arial" w:hAnsi="Arial" w:cs="Arial"/>
          <w:i/>
          <w:sz w:val="22"/>
        </w:rPr>
        <w:t>cluster_otus</w:t>
      </w:r>
      <w:proofErr w:type="spellEnd"/>
      <w:r w:rsidRPr="0023180E">
        <w:rPr>
          <w:rFonts w:ascii="Arial" w:hAnsi="Arial" w:cs="Arial"/>
          <w:sz w:val="22"/>
        </w:rPr>
        <w:t xml:space="preserve">, which also functions as chimera </w:t>
      </w:r>
      <w:r w:rsidRPr="0023180E">
        <w:rPr>
          <w:rFonts w:ascii="Arial" w:hAnsi="Arial" w:cs="Arial"/>
          <w:sz w:val="22"/>
        </w:rPr>
        <w:lastRenderedPageBreak/>
        <w:t xml:space="preserve">removal step. Otus were assigned taxonomy based on the </w:t>
      </w:r>
      <w:proofErr w:type="spellStart"/>
      <w:r w:rsidRPr="0023180E">
        <w:rPr>
          <w:rFonts w:ascii="Arial" w:hAnsi="Arial" w:cs="Arial"/>
          <w:i/>
          <w:sz w:val="22"/>
        </w:rPr>
        <w:t>utax</w:t>
      </w:r>
      <w:proofErr w:type="spellEnd"/>
      <w:r w:rsidRPr="0023180E">
        <w:rPr>
          <w:rFonts w:ascii="Arial" w:hAnsi="Arial" w:cs="Arial"/>
          <w:sz w:val="22"/>
        </w:rPr>
        <w:t xml:space="preserve"> algorithm using PR2 v4.72 </w:t>
      </w:r>
      <w:r w:rsidRPr="0023180E">
        <w:rPr>
          <w:rFonts w:ascii="Arial" w:hAnsi="Arial" w:cs="Arial"/>
          <w:sz w:val="22"/>
        </w:rPr>
        <w:fldChar w:fldCharType="begin" w:fldLock="1"/>
      </w:r>
      <w:r w:rsidRPr="0023180E">
        <w:rPr>
          <w:rFonts w:ascii="Arial" w:hAnsi="Arial" w:cs="Arial"/>
          <w:sz w:val="22"/>
        </w:rPr>
        <w:instrText>ADDIN CSL_CITATION {"citationItems":[{"id":"ITEM-1","itemData":{"DOI":"10.1093/nar/gks1160","ISBN":"1362-4962 (Electronic)\\n0305-1048 (Linking)","ISSN":"0305-1048","PMID":"23193267","abstract":"The interrogation of genetic markers in environmental meta-barcoding studies is currently seriously hindered by the lack of taxonomically curated reference data sets for the targeted genes. The Protist Ribosomal Reference database (PR(2), http://ssu-rrna.org/) provides a unique access to eukaryotic small sub-unit (SSU) ribosomal RNA and DNA sequences, with curated taxonomy. The database mainly consists of nuclear-encoded protistan sequences. However, metazoans, land plants, macrosporic fungi and eukaryotic organelles (mitochondrion, plastid and others) are also included because they are useful for the analysis of high-troughput sequencing data sets. Introns and putative chimeric sequences have been also carefully checked. Taxonomic assignation of sequences consists of eight unique taxonomic fields. In total, 136 866 sequences are nuclear encoded, 45 708 (36 501 mitochondrial and 9657 chloroplastic) are from organelles, the remaining being putative chimeric sequences. The website allows the users to download sequences from the entire and partial databases (including representative sequences after clustering at a given level of similarity). Different web tools also allow searches by sequence similarity. The presence of both rRNA and rDNA sequences, taking into account introns (crucial for eukaryotic sequences), a normalized eight terms ranked-taxonomy and updates of new GenBank releases were made possible by a long-term collaboration between experts in taxonomy and computer scientists.","author":[{"dropping-particle":"","family":"Guillou","given":"Laure","non-dropping-particle":"","parse-names":false,"suffix":""},{"dropping-particle":"","family":"Bachar","given":"Dipankar","non-dropping-particle":"","parse-names":false,"suffix":""},{"dropping-particle":"","family":"Audic","given":"Stéphane St??phane","non-dropping-particle":"","parse-names":false,"suffix":""},{"dropping-particle":"","family":"Bass","given":"David","non-dropping-particle":"","parse-names":false,"suffix":""},{"dropping-particle":"","family":"Berney","given":"C??dric Cédric","non-dropping-particle":"","parse-names":false,"suffix":""},{"dropping-particle":"","family":"Bittner","given":"Lucie","non-dropping-particle":"","parse-names":false,"suffix":""},{"dropping-particle":"","family":"Boutte","given":"Christophe","non-dropping-particle":"","parse-names":false,"suffix":""},{"dropping-particle":"","family":"Burgaud","given":"Ga??tan Gaétan","non-dropping-particle":"","parse-names":false,"suffix":""},{"dropping-particle":"","family":"Vargas","given":"Colomban","non-dropping-particle":"De","parse-names":false,"suffix":""},{"dropping-particle":"","family":"Decelle","given":"Johan","non-dropping-particle":"","parse-names":false,"suffix":""},{"dropping-particle":"","family":"Campo","given":"Javier","non-dropping-particle":"Del","parse-names":false,"suffix":""},{"dropping-particle":"","family":"Dolan","given":"John R.","non-dropping-particle":"","parse-names":false,"suffix":""},{"dropping-particle":"","family":"Dunthorn","given":"Micah","non-dropping-particle":"","parse-names":false,"suffix":""},{"dropping-particle":"","family":"Edvardsen","given":"Bente","non-dropping-particle":"","parse-names":false,"suffix":""},{"dropping-particle":"","family":"Holzmann","given":"Maria","non-dropping-particle":"","parse-names":false,"suffix":""},{"dropping-particle":"","family":"Kooistra","given":"Wiebe H C F","non-dropping-particle":"","parse-names":false,"suffix":""},{"dropping-particle":"","family":"Lara","given":"Enrique","non-dropping-particle":"","parse-names":false,"suffix":""},{"dropping-particle":"","family":"Bescot","given":"Noan","non-dropping-particle":"Le","parse-names":false,"suffix":""},{"dropping-particle":"","family":"Logares","given":"Ramiro","non-dropping-particle":"","parse-names":false,"suffix":""},{"dropping-particle":"","family":"Mah??","given":"Fr??d??ric","non-dropping-particle":"","parse-names":false,"suffix":""},{"dropping-particle":"","family":"Massana","given":"Ramon","non-dropping-particle":"","parse-names":false,"suffix":""},{"dropping-particle":"","family":"Montresor","given":"Marina","non-dropping-particle":"","parse-names":false,"suffix":""},{"dropping-particle":"","family":"Morard","given":"Raphael","non-dropping-particle":"","parse-names":false,"suffix":""},{"dropping-particle":"","family":"Not","given":"Fabrice","non-dropping-particle":"","parse-names":false,"suffix":""},{"dropping-particle":"","family":"Pawlowski","given":"Jan","non-dropping-particle":"","parse-names":false,"suffix":""},{"dropping-particle":"","family":"Probert","given":"Ian","non-dropping-particle":"","parse-names":false,"suffix":""},{"dropping-particle":"","family":"Sauvadet","given":"Anne Laure","non-dropping-particle":"","parse-names":false,"suffix":""},{"dropping-particle":"","family":"Siano","given":"Raffaele","non-dropping-particle":"","parse-names":false,"suffix":""},{"dropping-particle":"","family":"Stoeck","given":"Thorsten","non-dropping-particle":"","parse-names":false,"suffix":""},{"dropping-particle":"","family":"Vaulot","given":"Daniel","non-dropping-particle":"","parse-names":false,"suffix":""},{"dropping-particle":"","family":"Zimmermann","given":"Pascal","non-dropping-particle":"","parse-names":false,"suffix":""},{"dropping-particle":"","family":"Christen","given":"Richard","non-dropping-particle":"","parse-names":false,"suffix":""}],"container-title":"Nucleic acids research","id":"ITEM-1","issue":"D1","issued":{"date-parts":[["2012"]]},"page":"D597-D604","publisher":"Oxford University Press","title":"The Protist Ribosomal Reference database (PR2): a catalog of unicellular eukaryote small sub-unit rRNA sequences with curated taxonomy","type":"article-journal","volume":"41"},"uris":["http://www.mendeley.com/documents/?uuid=42af8aac-79ce-4df7-abae-217b1dd20694"]}],"mendeley":{"formattedCitation":"(Guillou et al., 2012)","plainTextFormattedCitation":"(Guillou et al., 2012)","previouslyFormattedCitation":"(Guillou et al., 2012)"},"properties":{"noteIndex":0},"schema":"https://github.com/citation-style-language/schema/raw/master/csl-citation.json"}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(Guillou et al., 2012)</w:t>
      </w:r>
      <w:r w:rsidRPr="0023180E">
        <w:rPr>
          <w:rFonts w:ascii="Arial" w:hAnsi="Arial" w:cs="Arial"/>
          <w:sz w:val="22"/>
        </w:rPr>
        <w:fldChar w:fldCharType="end"/>
      </w:r>
      <w:r w:rsidRPr="0023180E">
        <w:rPr>
          <w:rFonts w:ascii="Arial" w:hAnsi="Arial" w:cs="Arial"/>
          <w:sz w:val="22"/>
        </w:rPr>
        <w:t xml:space="preserve"> as reference database. The command, </w:t>
      </w:r>
      <w:proofErr w:type="spellStart"/>
      <w:r w:rsidRPr="0023180E">
        <w:rPr>
          <w:rFonts w:ascii="Arial" w:hAnsi="Arial" w:cs="Arial"/>
          <w:i/>
          <w:sz w:val="22"/>
        </w:rPr>
        <w:t>usearch_global</w:t>
      </w:r>
      <w:proofErr w:type="spellEnd"/>
      <w:r w:rsidRPr="0023180E">
        <w:rPr>
          <w:rFonts w:ascii="Arial" w:hAnsi="Arial" w:cs="Arial"/>
          <w:sz w:val="22"/>
        </w:rPr>
        <w:t xml:space="preserve"> was used for making an otu table.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otu table was converted into a format similar to the species table obtained from the morphological identification with the taxa names arranged in columns and the samples names in rows. Firstly, all nematodes-only otus with their records in each sample were selected and copied onto a separate worksheet in Microsoft Excel. For otus whose assignments did not include genus names, blast search </w:t>
      </w:r>
      <w:r w:rsidRPr="0023180E">
        <w:rPr>
          <w:rFonts w:ascii="Arial" w:hAnsi="Arial" w:cs="Arial"/>
          <w:sz w:val="22"/>
        </w:rPr>
        <w:fldChar w:fldCharType="begin" w:fldLock="1"/>
      </w:r>
      <w:r w:rsidRPr="0023180E">
        <w:rPr>
          <w:rFonts w:ascii="Arial" w:hAnsi="Arial" w:cs="Arial"/>
          <w:sz w:val="22"/>
        </w:rPr>
        <w:instrText>ADDIN CSL_CITATION {"citationItems":[{"id":"ITEM-1","itemData":{"ISSN":"1066-5277","author":[{"dropping-particle":"","family":"Zhang","given":"Zheng","non-dropping-particle":"","parse-names":false,"suffix":""},{"dropping-particle":"","family":"Schwartz","given":"Scott","non-dropping-particle":"","parse-names":false,"suffix":""},{"dropping-particle":"","family":"Wagner","given":"Lukas","non-dropping-particle":"","parse-names":false,"suffix":""},{"dropping-particle":"","family":"Miller","given":"Webb","non-dropping-particle":"","parse-names":false,"suffix":""}],"container-title":"Journal of Computational biology","id":"ITEM-1","issue":"1-2","issued":{"date-parts":[["2000"]]},"page":"203-214","publisher":"Mary Ann Liebert, Inc.","title":"A greedy algorithm for aligning DNA sequences","type":"article-journal","volume":"7"},"uris":["http://www.mendeley.com/documents/?uuid=cb23cfaa-5345-4a34-95d8-ff8038f7003f"]}],"mendeley":{"formattedCitation":"(Zhang et al., 2000)","plainTextFormattedCitation":"(Zhang et al., 2000)","previouslyFormattedCitation":"(Zhang et al., 2000)"},"properties":{"noteIndex":0},"schema":"https://github.com/citation-style-language/schema/raw/master/csl-citation.json"}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(Zhang et al., 2000)</w:t>
      </w:r>
      <w:r w:rsidRPr="0023180E">
        <w:rPr>
          <w:rFonts w:ascii="Arial" w:hAnsi="Arial" w:cs="Arial"/>
          <w:sz w:val="22"/>
        </w:rPr>
        <w:fldChar w:fldCharType="end"/>
      </w:r>
      <w:r w:rsidRPr="0023180E">
        <w:rPr>
          <w:rFonts w:ascii="Arial" w:hAnsi="Arial" w:cs="Arial"/>
          <w:sz w:val="22"/>
        </w:rPr>
        <w:t xml:space="preserve"> was performed against the NCBI reference database on 5</w:t>
      </w:r>
      <w:r w:rsidRPr="0023180E">
        <w:rPr>
          <w:rFonts w:ascii="Arial" w:hAnsi="Arial" w:cs="Arial"/>
          <w:sz w:val="22"/>
          <w:vertAlign w:val="superscript"/>
        </w:rPr>
        <w:t>th</w:t>
      </w:r>
      <w:r w:rsidRPr="0023180E">
        <w:rPr>
          <w:rFonts w:ascii="Arial" w:hAnsi="Arial" w:cs="Arial"/>
          <w:sz w:val="22"/>
        </w:rPr>
        <w:t xml:space="preserve"> February 2018 to confirm their identities at the genus level or species if possible. After this, reads of otus with the same species names were summed to produce a single total for each unique genus/species.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steps involved in obtaining the species table for the standard morphological approach are detailed in Chapter </w:t>
      </w:r>
      <w:r w:rsidRPr="0023180E">
        <w:rPr>
          <w:rFonts w:ascii="Arial" w:hAnsi="Arial" w:cs="Arial"/>
          <w:sz w:val="22"/>
        </w:rPr>
        <w:fldChar w:fldCharType="begin"/>
      </w:r>
      <w:r w:rsidRPr="0023180E">
        <w:rPr>
          <w:rFonts w:ascii="Arial" w:hAnsi="Arial" w:cs="Arial"/>
          <w:sz w:val="22"/>
        </w:rPr>
        <w:instrText xml:space="preserve"> REF _Ref509218108 \r \h </w:instrText>
      </w:r>
      <w:r w:rsidR="0023180E" w:rsidRPr="0023180E">
        <w:rPr>
          <w:rFonts w:ascii="Arial" w:hAnsi="Arial" w:cs="Arial"/>
          <w:sz w:val="22"/>
        </w:rPr>
        <w:instrText xml:space="preserve">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6</w:t>
      </w:r>
      <w:r w:rsidRPr="0023180E">
        <w:rPr>
          <w:rFonts w:ascii="Arial" w:hAnsi="Arial" w:cs="Arial"/>
          <w:sz w:val="22"/>
        </w:rPr>
        <w:fldChar w:fldCharType="end"/>
      </w:r>
      <w:r w:rsidRPr="0023180E">
        <w:rPr>
          <w:rFonts w:ascii="Arial" w:hAnsi="Arial" w:cs="Arial"/>
          <w:sz w:val="22"/>
        </w:rPr>
        <w:t>. In short, from 1 ml subsample of each sample extract, all individuals were identified to the genus level, although for some individuals, only family-level identification was possible. The number of each taxon (genus or family) in each sample was recorded in a species table similar to one described for the metabarcoding approach.</w:t>
      </w:r>
    </w:p>
    <w:p w:rsidR="00164794" w:rsidRPr="00A36255" w:rsidRDefault="00164794" w:rsidP="00164794">
      <w:pPr>
        <w:spacing w:line="360" w:lineRule="auto"/>
        <w:rPr>
          <w:rFonts w:cs="Arial"/>
          <w:sz w:val="22"/>
        </w:rPr>
      </w:pPr>
    </w:p>
    <w:p w:rsidR="00164794" w:rsidRDefault="00164794" w:rsidP="00164794">
      <w:pPr>
        <w:pStyle w:val="Heading3"/>
        <w:ind w:left="0" w:firstLine="0"/>
      </w:pPr>
      <w:bookmarkStart w:id="10" w:name="_Toc515103946"/>
      <w:r>
        <w:t>Statistical analysis</w:t>
      </w:r>
      <w:bookmarkEnd w:id="10"/>
    </w:p>
    <w:p w:rsidR="00164794" w:rsidRPr="0023180E" w:rsidRDefault="00164794" w:rsidP="0023180E">
      <w:pPr>
        <w:spacing w:after="120" w:line="360" w:lineRule="auto"/>
        <w:jc w:val="both"/>
        <w:rPr>
          <w:rFonts w:ascii="Arial" w:hAnsi="Arial" w:cs="Arial"/>
          <w:sz w:val="22"/>
          <w:szCs w:val="22"/>
        </w:rPr>
      </w:pPr>
      <w:r w:rsidRPr="0023180E">
        <w:rPr>
          <w:rFonts w:ascii="Arial" w:hAnsi="Arial" w:cs="Arial"/>
          <w:sz w:val="22"/>
          <w:szCs w:val="22"/>
        </w:rPr>
        <w:t xml:space="preserve">For calculating disturbance indices, both the metabarcoding species table and the morphology species table were analysed in three different formats. First analysis involved computing all indices and trophic classifications using the unrarefied data (raw data). The second analysis involved the computation of these indices and trophic classifications on rarefied data from both the metabarcoding and morphological identification. The standard and metabarcoding datasets were rarefied to 50 individuals and 100 reads per sample, respectively. The third analysis used presence-absence data. The three different analyses were performed to determine if the format of the data had any impact on to the comparison. In each of these analysis classes, difference in means of metabarcoding- and morphology-based indices were tested using the Welch’s t-test </w:t>
      </w:r>
      <w:r w:rsidRPr="0023180E">
        <w:rPr>
          <w:rFonts w:ascii="Arial" w:hAnsi="Arial" w:cs="Arial"/>
          <w:sz w:val="22"/>
          <w:szCs w:val="22"/>
        </w:rPr>
        <w:fldChar w:fldCharType="begin" w:fldLock="1"/>
      </w:r>
      <w:r w:rsidRPr="0023180E">
        <w:rPr>
          <w:rFonts w:ascii="Arial" w:hAnsi="Arial" w:cs="Arial"/>
          <w:sz w:val="22"/>
          <w:szCs w:val="22"/>
        </w:rPr>
        <w:instrText>ADDIN CSL_CITATION {"citationItems":[{"id":"ITEM-1","itemData":{"ISSN":"0006-3444","author":[{"dropping-particle":"","family":"Welch","given":"Bernard Lewis","non-dropping-particle":"","parse-names":false,"suffix":""}],"container-title":"Biometrika","id":"ITEM-1","issue":"3/4","issued":{"date-parts":[["1951"]]},"page":"330-336","publisher":"JSTOR","title":"On the comparison of several mean values: an alternative approach","type":"article-journal","volume":"38"},"uris":["http://www.mendeley.com/documents/?uuid=6311dd41-3908-4c94-87f5-8773c5ee88ea"]}],"mendeley":{"formattedCitation":"(Welch, 1951)","plainTextFormattedCitation":"(Welch, 1951)","previouslyFormattedCitation":"(Welch, 1951)"},"properties":{"noteIndex":0},"schema":"https://github.com/citation-style-language/schema/raw/master/csl-citation.json"}</w:instrText>
      </w:r>
      <w:r w:rsidRPr="0023180E">
        <w:rPr>
          <w:rFonts w:ascii="Arial" w:hAnsi="Arial" w:cs="Arial"/>
          <w:sz w:val="22"/>
          <w:szCs w:val="22"/>
        </w:rPr>
        <w:fldChar w:fldCharType="separate"/>
      </w:r>
      <w:r w:rsidRPr="0023180E">
        <w:rPr>
          <w:rFonts w:ascii="Arial" w:hAnsi="Arial" w:cs="Arial"/>
          <w:noProof/>
          <w:sz w:val="22"/>
          <w:szCs w:val="22"/>
        </w:rPr>
        <w:t>(Welch, 1951)</w:t>
      </w:r>
      <w:r w:rsidRPr="0023180E">
        <w:rPr>
          <w:rFonts w:ascii="Arial" w:hAnsi="Arial" w:cs="Arial"/>
          <w:sz w:val="22"/>
          <w:szCs w:val="22"/>
        </w:rPr>
        <w:fldChar w:fldCharType="end"/>
      </w:r>
      <w:r w:rsidRPr="0023180E">
        <w:rPr>
          <w:rFonts w:ascii="Arial" w:hAnsi="Arial" w:cs="Arial"/>
          <w:sz w:val="22"/>
          <w:szCs w:val="22"/>
        </w:rPr>
        <w:t xml:space="preserve"> in </w:t>
      </w:r>
      <w:proofErr w:type="spellStart"/>
      <w:r w:rsidRPr="0023180E">
        <w:rPr>
          <w:rFonts w:ascii="Arial" w:hAnsi="Arial" w:cs="Arial"/>
          <w:sz w:val="22"/>
          <w:szCs w:val="22"/>
        </w:rPr>
        <w:t>RStudio</w:t>
      </w:r>
      <w:proofErr w:type="spellEnd"/>
      <w:r w:rsidRPr="0023180E">
        <w:rPr>
          <w:rFonts w:ascii="Arial" w:hAnsi="Arial" w:cs="Arial"/>
          <w:sz w:val="22"/>
          <w:szCs w:val="22"/>
        </w:rPr>
        <w:t xml:space="preserve"> development environment for R </w:t>
      </w:r>
      <w:r w:rsidRPr="0023180E">
        <w:rPr>
          <w:rFonts w:ascii="Arial" w:hAnsi="Arial" w:cs="Arial"/>
          <w:sz w:val="22"/>
          <w:szCs w:val="22"/>
        </w:rPr>
        <w:fldChar w:fldCharType="begin" w:fldLock="1"/>
      </w:r>
      <w:r w:rsidRPr="0023180E">
        <w:rPr>
          <w:rFonts w:ascii="Arial" w:hAnsi="Arial" w:cs="Arial"/>
          <w:sz w:val="22"/>
          <w:szCs w:val="22"/>
        </w:rPr>
        <w:instrText>ADDIN CSL_CITATION {"citationItems":[{"id":"ITEM-1","itemData":{"author":[{"dropping-particle":"","family":"Team","given":"RStudio","non-dropping-particle":"","parse-names":false,"suffix":""}],"id":"ITEM-1","issued":{"date-parts":[["2015"]]},"title":"RStudio: integrated development environment for R. Boston (MA): RStudio, Inc","type":"article"},"uris":["http://www.mendeley.com/documents/?uuid=c27e6952-9b29-4b52-a217-bc66fbab56ba"]}],"mendeley":{"formattedCitation":"(Team, 2015)","manualFormatting":"(RStudio Team, 2015)","plainTextFormattedCitation":"(Team, 2015)","previouslyFormattedCitation":"(Team, 2015)"},"properties":{"noteIndex":0},"schema":"https://github.com/citation-style-language/schema/raw/master/csl-citation.json"}</w:instrText>
      </w:r>
      <w:r w:rsidRPr="0023180E">
        <w:rPr>
          <w:rFonts w:ascii="Arial" w:hAnsi="Arial" w:cs="Arial"/>
          <w:sz w:val="22"/>
          <w:szCs w:val="22"/>
        </w:rPr>
        <w:fldChar w:fldCharType="separate"/>
      </w:r>
      <w:r w:rsidRPr="0023180E">
        <w:rPr>
          <w:rFonts w:ascii="Arial" w:hAnsi="Arial" w:cs="Arial"/>
          <w:noProof/>
          <w:sz w:val="22"/>
          <w:szCs w:val="22"/>
        </w:rPr>
        <w:t>(RStudio Team, 2015)</w:t>
      </w:r>
      <w:r w:rsidRPr="0023180E">
        <w:rPr>
          <w:rFonts w:ascii="Arial" w:hAnsi="Arial" w:cs="Arial"/>
          <w:sz w:val="22"/>
          <w:szCs w:val="22"/>
        </w:rPr>
        <w:fldChar w:fldCharType="end"/>
      </w:r>
      <w:r w:rsidRPr="0023180E">
        <w:rPr>
          <w:rFonts w:ascii="Arial" w:hAnsi="Arial" w:cs="Arial"/>
          <w:sz w:val="22"/>
          <w:szCs w:val="22"/>
        </w:rPr>
        <w:t xml:space="preserv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All computations of nematode indices, trophic group classifications and food web diagnostics were performed using NINJA </w:t>
      </w:r>
      <w:r w:rsidRPr="0023180E">
        <w:rPr>
          <w:rFonts w:ascii="Arial" w:hAnsi="Arial" w:cs="Arial"/>
          <w:sz w:val="22"/>
        </w:rPr>
        <w:fldChar w:fldCharType="begin" w:fldLock="1"/>
      </w:r>
      <w:r w:rsidRPr="0023180E">
        <w:rPr>
          <w:rFonts w:ascii="Arial" w:hAnsi="Arial" w:cs="Arial"/>
          <w:sz w:val="22"/>
        </w:rPr>
        <w:instrText>ADDIN CSL_CITATION {"citationItems":[{"id":"ITEM-1","itemData":{"ISSN":"1164-5563","author":[{"dropping-particle":"","family":"Sieriebriennikov","given":"Bogdan","non-dropping-particle":"","parse-names":false,"suffix":""},{"dropping-particle":"","family":"Ferris","given":"Howard","non-dropping-particle":"","parse-names":false,"suffix":""},{"dropping-particle":"","family":"Goede","given":"Ron G M","non-dropping-particle":"de","parse-names":false,"suffix":""}],"container-title":"European Journal of Soil Biology","id":"ITEM-1","issued":{"date-parts":[["2014"]]},"page":"90-93","publisher":"Elsevier","title":"NINJA: an automated calculation system for nematode-based biological monitoring","type":"article-journal","volume":"61"},"uris":["http://www.mendeley.com/documents/?uuid=d01b5dac-86e0-4201-aa11-1066238b2f32"]}],"mendeley":{"formattedCitation":"(Sieriebriennikov et al., 2014)","plainTextFormattedCitation":"(Sieriebriennikov et al., 2014)","previouslyFormattedCitation":"(Sieriebriennikov et al., 2014)"},"properties":{"noteIndex":0},"schema":"https://github.com/citation-style-language/schema/raw/master/csl-citation.json"}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(Sieriebriennikov et al., 2014)</w:t>
      </w:r>
      <w:r w:rsidRPr="0023180E">
        <w:rPr>
          <w:rFonts w:ascii="Arial" w:hAnsi="Arial" w:cs="Arial"/>
          <w:sz w:val="22"/>
        </w:rPr>
        <w:fldChar w:fldCharType="end"/>
      </w:r>
      <w:r w:rsidRPr="0023180E">
        <w:rPr>
          <w:rFonts w:ascii="Arial" w:hAnsi="Arial" w:cs="Arial"/>
          <w:sz w:val="22"/>
        </w:rPr>
        <w:t xml:space="preserve">, an online tool for nematode faunal analyses. The indices obtained for all samples were added to the species table together with some measured environmental variables. Using NINJA, c-p triangle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{"citationItems":[{"id":"ITEM-1","itemData":{"author":[{"dropping-particle":"","family":"Goede","given":"R G M","non-dropping-particle":"De","parse-names":false,"suffix":""},{"dropping-particle":"","family":"Bongers","given":"T","non-dropping-particle":"","parse-names":false,"suffix":""},{"dropping-particle":"","family":"Ettema","given":"C","non-dropping-particle":"","parse-names":false,"suffix":""}],"container-title":"Mededelingen van de Faculteit Landbouwwetenschappen, Rijksuniversiteit Gent","id":"ITEM-1","issued":{"date-parts":[["1993"]]},"page":"743-750","title":"Graphical presentation and interpretation of nematode community structure: cp triangles.","type":"article-journal","volume":"58"},"uris":["http://www.mendeley.com/documents/?uuid=858c7b03-4cd3-46ea-819e-11f46b741e76"]}],"mendeley":{"formattedCitation":"(De Goede et al., 1993a)","plainTextFormattedCitation":"(De Goede et al., 1993a)","previouslyFormattedCitation":"(De Goede et al., 1993a)"},"properties":{"noteIndex":0},"schema":"https://github.com/citation-style-language/schema/raw/master/csl-citation.json"}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(De Goede et al., 1993a)</w:t>
      </w:r>
      <w:r w:rsidRPr="0023180E">
        <w:rPr>
          <w:rFonts w:ascii="Arial" w:hAnsi="Arial" w:cs="Arial"/>
          <w:sz w:val="22"/>
        </w:rPr>
        <w:fldChar w:fldCharType="end"/>
      </w:r>
      <w:r w:rsidRPr="0023180E">
        <w:rPr>
          <w:rFonts w:ascii="Arial" w:hAnsi="Arial" w:cs="Arial"/>
          <w:sz w:val="22"/>
        </w:rPr>
        <w:t>, which graphically presents nematode community structure based on coloniser-persister (c-p) classifications of the community were also obtained.</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lastRenderedPageBreak/>
        <w:t xml:space="preserve">The effects of treatments and depth of sampling on nematode community compositions were demonstrated using non-metric multidimensional scaling (NMDS) ordination of Jaccard dissimilarity metrics. Most of the analysis involving NMDS were performed following the workflow described in </w:t>
      </w:r>
      <w:r w:rsidRPr="0023180E">
        <w:rPr>
          <w:rFonts w:ascii="Arial" w:hAnsi="Arial" w:cs="Arial"/>
          <w:sz w:val="22"/>
        </w:rPr>
        <w:fldChar w:fldCharType="begin" w:fldLock="1"/>
      </w:r>
      <w:r w:rsidRPr="0023180E">
        <w:rPr>
          <w:rFonts w:ascii="Arial" w:hAnsi="Arial" w:cs="Arial"/>
          <w:sz w:val="22"/>
        </w:rPr>
        <w:instrText>ADDIN CSL_CITATION {"citationItems":[{"id":"ITEM-1","itemData":{"ISSN":"1461-0248","author":[{"dropping-particle":"","family":"Ji","given":"Yinqiu","non-dropping-particle":"","parse-names":false,"suffix":""},{"dropping-particle":"","family":"Ashton","given":"Louise","non-dropping-particle":"","parse-names":false,"suffix":""},{"dropping-particle":"","family":"Pedley","given":"Scott M","non-dropping-particle":"","parse-names":false,"suffix":""},{"dropping-particle":"","family":"Edwards","given":"David P","non-dropping-particle":"","parse-names":false,"suffix":""},{"dropping-particle":"","family":"Tang","given":"Yong","non-dropping-particle":"","parse-names":false,"suffix":""},{"dropping-particle":"","family":"Nakamura","given":"Akihiro","non-dropping-particle":"","parse-names":false,"suffix":""},{"dropping-particle":"","family":"Kitching","given":"Roger","non-dropping-particle":"","parse-names":false,"suffix":""},{"dropping-particle":"","family":"Dolman","given":"Paul M","non-dropping-particle":"","parse-names":false,"suffix":""},{"dropping-particle":"","family":"Woodcock","given":"Paul","non-dropping-particle":"","parse-names":false,"suffix":""},{"dropping-particle":"","family":"Edwards","given":"Felicity A","non-dropping-particle":"","parse-names":false,"suffix":""}],"container-title":"Ecology letters","id":"ITEM-1","issue":"10","issued":{"date-parts":[["2013"]]},"page":"1245-1257","publisher":"Wiley Online Library","title":"Reliable, verifiable and efficient monitoring of biodiversity via metabarcoding","type":"article-journal","volume":"16"},"uris":["http://www.mendeley.com/documents/?uuid=06935a79-c154-4d16-99f9-cc6c36ac98de"]}],"mendeley":{"formattedCitation":"(Ji et al., 2013)","plainTextFormattedCitation":"(Ji et al., 2013)","previouslyFormattedCitation":"(Ji et al., 2013)"},"properties":{"noteIndex":0},"schema":"https://github.com/citation-style-language/schema/raw/master/csl-citation.json"}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(Ji et al., 2013)</w:t>
      </w:r>
      <w:r w:rsidRPr="0023180E">
        <w:rPr>
          <w:rFonts w:ascii="Arial" w:hAnsi="Arial" w:cs="Arial"/>
          <w:sz w:val="22"/>
        </w:rPr>
        <w:fldChar w:fldCharType="end"/>
      </w:r>
      <w:r w:rsidRPr="0023180E">
        <w:rPr>
          <w:rFonts w:ascii="Arial" w:hAnsi="Arial" w:cs="Arial"/>
          <w:sz w:val="22"/>
        </w:rPr>
        <w:t xml:space="preserve">. For this procedure alone, only presence-absence data from the metabarcoding was compared with the unrarefied data from the standard morphological data to conform with the procedure described by </w:t>
      </w:r>
      <w:r w:rsidRPr="0023180E">
        <w:rPr>
          <w:rFonts w:ascii="Arial" w:hAnsi="Arial" w:cs="Arial"/>
          <w:sz w:val="22"/>
        </w:rPr>
        <w:fldChar w:fldCharType="begin" w:fldLock="1"/>
      </w:r>
      <w:r w:rsidRPr="0023180E">
        <w:rPr>
          <w:rFonts w:ascii="Arial" w:hAnsi="Arial" w:cs="Arial"/>
          <w:sz w:val="22"/>
        </w:rPr>
        <w:instrText>ADDIN CSL_CITATION {"citationItems":[{"id":"ITEM-1","itemData":{"ISSN":"1461-0248","author":[{"dropping-particle":"","family":"Ji","given":"Yinqiu","non-dropping-particle":"","parse-names":false,"suffix":""},{"dropping-particle":"","family":"Ashton","given":"Louise","non-dropping-particle":"","parse-names":false,"suffix":""},{"dropping-particle":"","family":"Pedley","given":"Scott M","non-dropping-particle":"","parse-names":false,"suffix":""},{"dropping-particle":"","family":"Edwards","given":"David P","non-dropping-particle":"","parse-names":false,"suffix":""},{"dropping-particle":"","family":"Tang","given":"Yong","non-dropping-particle":"","parse-names":false,"suffix":""},{"dropping-particle":"","family":"Nakamura","given":"Akihiro","non-dropping-particle":"","parse-names":false,"suffix":""},{"dropping-particle":"","family":"Kitching","given":"Roger","non-dropping-particle":"","parse-names":false,"suffix":""},{"dropping-particle":"","family":"Dolman","given":"Paul M","non-dropping-particle":"","parse-names":false,"suffix":""},{"dropping-particle":"","family":"Woodcock","given":"Paul","non-dropping-particle":"","parse-names":false,"suffix":""},{"dropping-particle":"","family":"Edwards","given":"Felicity A","non-dropping-particle":"","parse-names":false,"suffix":""}],"container-title":"Ecology letters","id":"ITEM-1","issue":"10","issued":{"date-parts":[["2013"]]},"page":"1245-1257","publisher":"Wiley Online Library","title":"Reliable, verifiable and efficient monitoring of biodiversity via metabarcoding","type":"article-journal","volume":"16"},"uris":["http://www.mendeley.com/documents/?uuid=06935a79-c154-4d16-99f9-cc6c36ac98de"]}],"mendeley":{"formattedCitation":"(Ji et al., 2013)","manualFormatting":"Ji et al. (2013)","plainTextFormattedCitation":"(Ji et al., 2013)","previouslyFormattedCitation":"(Ji et al., 2013)"},"properties":{"noteIndex":0},"schema":"https://github.com/citation-style-language/schema/raw/master/csl-citation.json"}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Ji et al. (2013)</w:t>
      </w:r>
      <w:r w:rsidRPr="0023180E">
        <w:rPr>
          <w:rFonts w:ascii="Arial" w:hAnsi="Arial" w:cs="Arial"/>
          <w:sz w:val="22"/>
        </w:rPr>
        <w:fldChar w:fldCharType="end"/>
      </w:r>
      <w:r w:rsidRPr="0023180E">
        <w:rPr>
          <w:rFonts w:ascii="Arial" w:hAnsi="Arial" w:cs="Arial"/>
          <w:sz w:val="22"/>
        </w:rPr>
        <w:t xml:space="preserve">. An NMDS plot comparing the presence-absence metabarcoding data with the rarefied standard data instead of the unrarefied one did not change the plot. The decision to use the unrarefied standard data was, therefore, to avoid loss of data that may result from the rarefaction. The function </w:t>
      </w:r>
      <w:proofErr w:type="spellStart"/>
      <w:r w:rsidRPr="0023180E">
        <w:rPr>
          <w:rFonts w:ascii="Arial" w:hAnsi="Arial" w:cs="Arial"/>
          <w:i/>
          <w:sz w:val="22"/>
        </w:rPr>
        <w:t>vegdist</w:t>
      </w:r>
      <w:proofErr w:type="spellEnd"/>
      <w:r w:rsidRPr="0023180E">
        <w:rPr>
          <w:rFonts w:ascii="Arial" w:hAnsi="Arial" w:cs="Arial"/>
          <w:i/>
          <w:sz w:val="22"/>
        </w:rPr>
        <w:t xml:space="preserve"> </w:t>
      </w:r>
      <w:r w:rsidRPr="0023180E">
        <w:rPr>
          <w:rFonts w:ascii="Arial" w:hAnsi="Arial" w:cs="Arial"/>
          <w:sz w:val="22"/>
        </w:rPr>
        <w:t xml:space="preserve">of the vegan package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{"citationItems":[{"id":"ITEM-1","itemData":{"author":[{"dropping-particle":"","family":"Oksanen","given":"Jari","non-dropping-particle":"","parse-names":false,"suffix":""},{"dropping-particle":"","family":"Blanchet","given":"F Guillaume","non-dropping-particle":"","parse-names":false,"suffix":""},{"dropping-particle":"","family":"Kindt","given":"Roeland","non-dropping-particle":"","parse-names":false,"suffix":""},{"dropping-particle":"","family":"Legendre","given":"Pierre","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H","non-dropping-particle":"","parse-names":false,"suffix":""},{"dropping-particle":"","family":"Wagner","given":"Helene","non-dropping-particle":"","parse-names":false,"suffix":""}],"container-title":"There is no corresponding record for this reference","id":"ITEM-1","issued":{"date-parts":[["2015"]]},"title":"vegan: community ecology package. R package version 2.2–1. 2015","type":"article-journal"},"uris":["http://www.mendeley.com/documents/?uuid=f42555a7-84b8-4a74-878f-b3b2f02475a0"]}],"mendeley":{"formattedCitation":"(Oksanen et al., 2015)","plainTextFormattedCitation":"(Oksanen et al., 2015)","previouslyFormattedCitation":"(Oksanen et al.,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(Oksanen et al., 2015)</w:t>
      </w:r>
      <w:r w:rsidRPr="0023180E">
        <w:rPr>
          <w:rFonts w:ascii="Arial" w:hAnsi="Arial" w:cs="Arial"/>
          <w:sz w:val="22"/>
        </w:rPr>
        <w:fldChar w:fldCharType="end"/>
      </w:r>
      <w:r w:rsidRPr="0023180E">
        <w:rPr>
          <w:rFonts w:ascii="Arial" w:hAnsi="Arial" w:cs="Arial"/>
          <w:sz w:val="22"/>
        </w:rPr>
        <w:t xml:space="preserve"> was used to calculate distances, and </w:t>
      </w:r>
      <w:proofErr w:type="spellStart"/>
      <w:r w:rsidRPr="0023180E">
        <w:rPr>
          <w:rFonts w:ascii="Arial" w:hAnsi="Arial" w:cs="Arial"/>
          <w:i/>
          <w:sz w:val="22"/>
        </w:rPr>
        <w:t>metaMDS</w:t>
      </w:r>
      <w:proofErr w:type="spellEnd"/>
      <w:r w:rsidRPr="0023180E">
        <w:rPr>
          <w:rFonts w:ascii="Arial" w:hAnsi="Arial" w:cs="Arial"/>
          <w:sz w:val="22"/>
        </w:rPr>
        <w:t xml:space="preserve"> for performing NMDS. For the metabarcoding data alone, the parameter ‘binary’ in </w:t>
      </w:r>
      <w:proofErr w:type="spellStart"/>
      <w:r w:rsidRPr="0023180E">
        <w:rPr>
          <w:rFonts w:ascii="Arial" w:hAnsi="Arial" w:cs="Arial"/>
          <w:i/>
          <w:sz w:val="22"/>
        </w:rPr>
        <w:t>vegdist</w:t>
      </w:r>
      <w:proofErr w:type="spellEnd"/>
      <w:r w:rsidRPr="0023180E">
        <w:rPr>
          <w:rFonts w:ascii="Arial" w:hAnsi="Arial" w:cs="Arial"/>
          <w:sz w:val="22"/>
        </w:rPr>
        <w:t xml:space="preserve"> was set to true because the data was in a binary (presence/absence) format. Correlations between the metabarcoding and morphological data were performed using </w:t>
      </w:r>
      <w:r w:rsidRPr="0023180E">
        <w:rPr>
          <w:rFonts w:ascii="Arial" w:hAnsi="Arial" w:cs="Arial"/>
          <w:i/>
          <w:sz w:val="22"/>
        </w:rPr>
        <w:t xml:space="preserve">mantel </w:t>
      </w:r>
      <w:r w:rsidRPr="0023180E">
        <w:rPr>
          <w:rFonts w:ascii="Arial" w:hAnsi="Arial" w:cs="Arial"/>
          <w:sz w:val="22"/>
        </w:rPr>
        <w:t xml:space="preserve">and </w:t>
      </w:r>
      <w:r w:rsidRPr="0023180E">
        <w:rPr>
          <w:rFonts w:ascii="Arial" w:hAnsi="Arial" w:cs="Arial"/>
          <w:i/>
          <w:sz w:val="22"/>
        </w:rPr>
        <w:t xml:space="preserve">protest </w:t>
      </w:r>
      <w:r w:rsidRPr="0023180E">
        <w:rPr>
          <w:rFonts w:ascii="Arial" w:hAnsi="Arial" w:cs="Arial"/>
          <w:sz w:val="22"/>
        </w:rPr>
        <w:t xml:space="preserve">correlation tests in </w:t>
      </w:r>
      <w:r w:rsidRPr="0023180E">
        <w:rPr>
          <w:rFonts w:ascii="Arial" w:hAnsi="Arial" w:cs="Arial"/>
          <w:i/>
          <w:sz w:val="22"/>
        </w:rPr>
        <w:t>vegan</w:t>
      </w:r>
      <w:r w:rsidRPr="0023180E">
        <w:rPr>
          <w:rFonts w:ascii="Arial" w:hAnsi="Arial" w:cs="Arial"/>
          <w:sz w:val="22"/>
        </w:rPr>
        <w:t xml:space="preserv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Effects of treatments on community compositions were analysed using </w:t>
      </w:r>
      <w:proofErr w:type="spellStart"/>
      <w:r w:rsidRPr="0023180E">
        <w:rPr>
          <w:rFonts w:ascii="Arial" w:hAnsi="Arial" w:cs="Arial"/>
          <w:i/>
          <w:sz w:val="22"/>
        </w:rPr>
        <w:t>mvabund</w:t>
      </w:r>
      <w:proofErr w:type="spellEnd"/>
      <w:r w:rsidRPr="0023180E">
        <w:rPr>
          <w:rFonts w:ascii="Arial" w:hAnsi="Arial" w:cs="Arial"/>
          <w:sz w:val="22"/>
        </w:rPr>
        <w:t xml:space="preserve"> </w:t>
      </w:r>
      <w:r w:rsidRPr="0023180E">
        <w:rPr>
          <w:rFonts w:ascii="Arial" w:hAnsi="Arial" w:cs="Arial"/>
          <w:sz w:val="22"/>
        </w:rPr>
        <w:fldChar w:fldCharType="begin" w:fldLock="1"/>
      </w:r>
      <w:r w:rsidRPr="0023180E">
        <w:rPr>
          <w:rFonts w:ascii="Arial" w:hAnsi="Arial" w:cs="Arial"/>
          <w:sz w:val="22"/>
        </w:rPr>
        <w:instrText>ADDIN CSL_CITATION {"citationItems":[{"id":"ITEM-1","itemData":{"ISSN":"2041-210X","author":[{"dropping-particle":"","family":"Wang","given":"Y I","non-dropping-particle":"","parse-names":false,"suffix":""},{"dropping-particle":"","family":"Naumann","given":"Ulrike","non-dropping-particle":"","parse-names":false,"suffix":""},{"dropping-particle":"","family":"Wright","given":"Stephen T","non-dropping-particle":"","parse-names":false,"suffix":""},{"dropping-particle":"","family":"Warton","given":"David I","non-dropping-particle":"","parse-names":false,"suffix":""}],"container-title":"Methods in Ecology and Evolution","id":"ITEM-1","issue":"3","issued":{"date-parts":[["2012"]]},"page":"471-474","publisher":"Wiley Online Library","title":"mvabund–an R package for model</w:instrText>
      </w:r>
      <w:r w:rsidRPr="0023180E">
        <w:rPr>
          <w:rFonts w:ascii="Cambria Math" w:hAnsi="Cambria Math" w:cs="Cambria Math"/>
          <w:sz w:val="22"/>
        </w:rPr>
        <w:instrText>‐</w:instrText>
      </w:r>
      <w:r w:rsidRPr="0023180E">
        <w:rPr>
          <w:rFonts w:ascii="Arial" w:hAnsi="Arial" w:cs="Arial"/>
          <w:sz w:val="22"/>
        </w:rPr>
        <w:instrText>based analysis of multivariate abundance data","type":"article-journal","volume":"3"},"uris":["http://www.mendeley.com/documents/?uuid=38d5983d-3a45-4b71-9c05-b63078665f0f"]}],"mendeley":{"formattedCitation":"(Wang et al., 2012)","plainTextFormattedCitation":"(Wang et al., 2012)","previouslyFormattedCitation":"(Wang et al., 2012)"},"properties":{"noteIndex":0},"schema":"https://github.com/citation-style-language/schema/raw/master/csl-citation.json"}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(Wang et al., 2012)</w:t>
      </w:r>
      <w:r w:rsidRPr="0023180E">
        <w:rPr>
          <w:rFonts w:ascii="Arial" w:hAnsi="Arial" w:cs="Arial"/>
          <w:sz w:val="22"/>
        </w:rPr>
        <w:fldChar w:fldCharType="end"/>
      </w:r>
      <w:r w:rsidRPr="0023180E">
        <w:rPr>
          <w:rFonts w:ascii="Arial" w:hAnsi="Arial" w:cs="Arial"/>
          <w:sz w:val="22"/>
        </w:rPr>
        <w:t xml:space="preserve"> package. Differences in the effects of treatment levels were calculated using </w:t>
      </w:r>
      <w:proofErr w:type="spellStart"/>
      <w:r w:rsidRPr="0023180E">
        <w:rPr>
          <w:rFonts w:ascii="Arial" w:hAnsi="Arial" w:cs="Arial"/>
          <w:i/>
          <w:sz w:val="22"/>
        </w:rPr>
        <w:t>summary.manyglm</w:t>
      </w:r>
      <w:proofErr w:type="spellEnd"/>
      <w:r w:rsidRPr="0023180E">
        <w:rPr>
          <w:rFonts w:ascii="Arial" w:hAnsi="Arial" w:cs="Arial"/>
          <w:sz w:val="22"/>
        </w:rPr>
        <w:t xml:space="preserve">, and </w:t>
      </w:r>
      <w:proofErr w:type="spellStart"/>
      <w:r w:rsidRPr="0023180E">
        <w:rPr>
          <w:rFonts w:ascii="Arial" w:hAnsi="Arial" w:cs="Arial"/>
          <w:i/>
          <w:sz w:val="22"/>
        </w:rPr>
        <w:t>p.adjust</w:t>
      </w:r>
      <w:proofErr w:type="spellEnd"/>
      <w:r w:rsidRPr="0023180E">
        <w:rPr>
          <w:rFonts w:ascii="Arial" w:hAnsi="Arial" w:cs="Arial"/>
          <w:sz w:val="22"/>
        </w:rPr>
        <w:t xml:space="preserve"> function based on the ‘</w:t>
      </w:r>
      <w:proofErr w:type="spellStart"/>
      <w:r w:rsidRPr="0023180E">
        <w:rPr>
          <w:rFonts w:ascii="Arial" w:hAnsi="Arial" w:cs="Arial"/>
          <w:sz w:val="22"/>
        </w:rPr>
        <w:t>fdr</w:t>
      </w:r>
      <w:proofErr w:type="spellEnd"/>
      <w:r w:rsidRPr="0023180E">
        <w:rPr>
          <w:rFonts w:ascii="Arial" w:hAnsi="Arial" w:cs="Arial"/>
          <w:sz w:val="22"/>
        </w:rPr>
        <w:t xml:space="preserve">’ method </w:t>
      </w:r>
      <w:r w:rsidRPr="0023180E">
        <w:rPr>
          <w:rFonts w:ascii="Arial" w:hAnsi="Arial" w:cs="Arial"/>
          <w:sz w:val="22"/>
        </w:rPr>
        <w:fldChar w:fldCharType="begin" w:fldLock="1"/>
      </w:r>
      <w:r w:rsidRPr="0023180E">
        <w:rPr>
          <w:rFonts w:ascii="Arial" w:hAnsi="Arial" w:cs="Arial"/>
          <w:sz w:val="22"/>
        </w:rPr>
        <w:instrText>ADDIN CSL_CITATION {"citationItems":[{"id":"ITEM-1","itemData":{"ISSN":"0090-5364","author":[{"dropping-particle":"","family":"Benjamini","given":"Yoav","non-dropping-particle":"","parse-names":false,"suffix":""},{"dropping-particle":"","family":"Yekutieli","given":"Daniel","non-dropping-particle":"","parse-names":false,"suffix":""}],"container-title":"Annals of statistics","id":"ITEM-1","issued":{"date-parts":[["2001"]]},"page":"1165-1188","publisher":"JSTOR","title":"The control of the false discovery rate in multiple testing under dependency","type":"article-journal"},"uris":["http://www.mendeley.com/documents/?uuid=42ef7a9c-c91b-4a6b-88e8-6a0109a21f86"]}],"mendeley":{"formattedCitation":"(Benjamini and Yekutieli, 2001)","plainTextFormattedCitation":"(Benjamini and Yekutieli, 2001)","previouslyFormattedCitation":"(Benjamini and Yekutieli, 2001)"},"properties":{"noteIndex":0},"schema":"https://github.com/citation-style-language/schema/raw/master/csl-citation.json"}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(Benjamini and Yekutieli, 2001)</w:t>
      </w:r>
      <w:r w:rsidRPr="0023180E">
        <w:rPr>
          <w:rFonts w:ascii="Arial" w:hAnsi="Arial" w:cs="Arial"/>
          <w:sz w:val="22"/>
        </w:rPr>
        <w:fldChar w:fldCharType="end"/>
      </w:r>
      <w:r w:rsidRPr="0023180E">
        <w:rPr>
          <w:rFonts w:ascii="Arial" w:hAnsi="Arial" w:cs="Arial"/>
          <w:sz w:val="22"/>
        </w:rPr>
        <w:t xml:space="preserve"> was used to correct for multiple testing. The ‘</w:t>
      </w:r>
      <w:proofErr w:type="spellStart"/>
      <w:r w:rsidRPr="0023180E">
        <w:rPr>
          <w:rFonts w:ascii="Arial" w:hAnsi="Arial" w:cs="Arial"/>
          <w:sz w:val="22"/>
        </w:rPr>
        <w:t>fdr</w:t>
      </w:r>
      <w:proofErr w:type="spellEnd"/>
      <w:r w:rsidRPr="0023180E">
        <w:rPr>
          <w:rFonts w:ascii="Arial" w:hAnsi="Arial" w:cs="Arial"/>
          <w:sz w:val="22"/>
        </w:rPr>
        <w:t>’ method controls the expected proportion of false discoveries amongst the rejected hypotheses.</w:t>
      </w:r>
    </w:p>
    <w:p w:rsidR="00164794" w:rsidRDefault="00164794" w:rsidP="00164794">
      <w:pPr>
        <w:spacing w:line="276" w:lineRule="auto"/>
        <w:jc w:val="both"/>
        <w:rPr>
          <w:rFonts w:cs="Arial"/>
          <w:b/>
        </w:rPr>
      </w:pPr>
    </w:p>
    <w:p w:rsidR="00164794" w:rsidRDefault="00164794" w:rsidP="00164794">
      <w:pPr>
        <w:pStyle w:val="Heading3"/>
        <w:ind w:left="0" w:firstLine="0"/>
      </w:pPr>
      <w:bookmarkStart w:id="11" w:name="_Toc515103947"/>
      <w:r>
        <w:t>Comparisons between 2016 and 2017 samples</w:t>
      </w:r>
      <w:bookmarkEnd w:id="11"/>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Sequence files for the 0-5 cm depth of the samples from 2016 were combined with the sample data collected in 2017 (which consisted only of 0-5 cm depth samples) using USEARCH. Analyses inside USEARCH were carried following the same steps, using the same procedure as described in the section, </w:t>
      </w:r>
      <w:r w:rsidRPr="0023180E">
        <w:rPr>
          <w:rFonts w:ascii="Arial" w:hAnsi="Arial" w:cs="Arial"/>
          <w:sz w:val="22"/>
        </w:rPr>
        <w:fldChar w:fldCharType="begin"/>
      </w:r>
      <w:r w:rsidRPr="0023180E">
        <w:rPr>
          <w:rFonts w:ascii="Arial" w:hAnsi="Arial" w:cs="Arial"/>
          <w:sz w:val="22"/>
        </w:rPr>
        <w:instrText xml:space="preserve"> REF _Ref514709915 \r \h </w:instrText>
      </w:r>
      <w:r w:rsidR="0023180E" w:rsidRPr="0023180E">
        <w:rPr>
          <w:rFonts w:ascii="Arial" w:hAnsi="Arial" w:cs="Arial"/>
          <w:sz w:val="22"/>
        </w:rPr>
        <w:instrText xml:space="preserve">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7.2.4</w:t>
      </w:r>
      <w:r w:rsidRPr="0023180E">
        <w:rPr>
          <w:rFonts w:ascii="Arial" w:hAnsi="Arial" w:cs="Arial"/>
          <w:sz w:val="22"/>
        </w:rPr>
        <w:fldChar w:fldCharType="end"/>
      </w:r>
      <w:r w:rsidRPr="0023180E">
        <w:rPr>
          <w:rFonts w:ascii="Arial" w:hAnsi="Arial" w:cs="Arial"/>
          <w:sz w:val="22"/>
        </w:rPr>
        <w:t xml:space="preserve">. Species tables for the two sampling years were separated before performing statistical analysis. A possible outcome when data are separated in this manner is the occurrence of species with zero records for all samples in one part of the data because they only occurred in the other. Therefore, an additional code was added to remove species with zero records in all samples for each of the separate years. Distances were calculated using </w:t>
      </w:r>
      <w:proofErr w:type="spellStart"/>
      <w:r w:rsidRPr="0023180E">
        <w:rPr>
          <w:rFonts w:ascii="Arial" w:hAnsi="Arial" w:cs="Arial"/>
          <w:i/>
          <w:sz w:val="22"/>
        </w:rPr>
        <w:t>vegdist</w:t>
      </w:r>
      <w:proofErr w:type="spellEnd"/>
      <w:r w:rsidRPr="0023180E">
        <w:rPr>
          <w:rFonts w:ascii="Arial" w:hAnsi="Arial" w:cs="Arial"/>
          <w:sz w:val="22"/>
        </w:rPr>
        <w:t xml:space="preserve"> for this comparison. Treatment effects on community compositions were also calculated using </w:t>
      </w:r>
      <w:proofErr w:type="spellStart"/>
      <w:proofErr w:type="gramStart"/>
      <w:r w:rsidRPr="0023180E">
        <w:rPr>
          <w:rFonts w:ascii="Arial" w:hAnsi="Arial" w:cs="Arial"/>
          <w:i/>
          <w:sz w:val="22"/>
        </w:rPr>
        <w:t>summary.manyglm</w:t>
      </w:r>
      <w:proofErr w:type="spellEnd"/>
      <w:proofErr w:type="gramEnd"/>
      <w:r w:rsidRPr="0023180E">
        <w:rPr>
          <w:rFonts w:ascii="Arial" w:hAnsi="Arial" w:cs="Arial"/>
          <w:sz w:val="22"/>
        </w:rPr>
        <w:t xml:space="preserve"> function with </w:t>
      </w:r>
      <w:proofErr w:type="spellStart"/>
      <w:r w:rsidRPr="0023180E">
        <w:rPr>
          <w:rFonts w:ascii="Arial" w:hAnsi="Arial" w:cs="Arial"/>
          <w:i/>
          <w:sz w:val="22"/>
        </w:rPr>
        <w:t>p.adjust</w:t>
      </w:r>
      <w:proofErr w:type="spellEnd"/>
      <w:r w:rsidRPr="0023180E">
        <w:rPr>
          <w:rFonts w:ascii="Arial" w:hAnsi="Arial" w:cs="Arial"/>
          <w:i/>
          <w:sz w:val="22"/>
        </w:rPr>
        <w:t xml:space="preserve"> </w:t>
      </w:r>
      <w:r w:rsidRPr="0023180E">
        <w:rPr>
          <w:rFonts w:ascii="Arial" w:hAnsi="Arial" w:cs="Arial"/>
          <w:sz w:val="22"/>
        </w:rPr>
        <w:t xml:space="preserve">to correct for multiple testing as was done in the previous section. </w:t>
      </w:r>
    </w:p>
    <w:p w:rsidR="00164794" w:rsidRDefault="00164794" w:rsidP="00164794">
      <w:pPr>
        <w:spacing w:after="120" w:line="360" w:lineRule="auto"/>
        <w:rPr>
          <w:rFonts w:cs="Arial"/>
          <w:sz w:val="22"/>
        </w:rPr>
      </w:pPr>
    </w:p>
    <w:p w:rsidR="00164794" w:rsidRDefault="00164794" w:rsidP="00164794">
      <w:pPr>
        <w:spacing w:after="120" w:line="360" w:lineRule="auto"/>
        <w:rPr>
          <w:rFonts w:cs="Arial"/>
          <w:sz w:val="22"/>
        </w:rPr>
      </w:pPr>
    </w:p>
    <w:p w:rsidR="00164794" w:rsidRPr="00543A69" w:rsidRDefault="00164794" w:rsidP="00164794">
      <w:pPr>
        <w:spacing w:after="120" w:line="360" w:lineRule="auto"/>
        <w:rPr>
          <w:rFonts w:cs="Arial"/>
          <w:sz w:val="22"/>
        </w:rPr>
      </w:pPr>
    </w:p>
    <w:p w:rsidR="00164794" w:rsidRDefault="00164794" w:rsidP="00164794">
      <w:pPr>
        <w:pStyle w:val="Heading2"/>
        <w:numPr>
          <w:ilvl w:val="0"/>
          <w:numId w:val="0"/>
        </w:numPr>
      </w:pPr>
      <w:bookmarkStart w:id="12" w:name="_Toc515103948"/>
      <w:r>
        <w:lastRenderedPageBreak/>
        <w:t>Results</w:t>
      </w:r>
      <w:bookmarkEnd w:id="12"/>
    </w:p>
    <w:p w:rsidR="00164794" w:rsidRDefault="00164794" w:rsidP="00164794">
      <w:pPr>
        <w:pStyle w:val="Heading3"/>
        <w:ind w:left="0" w:firstLine="0"/>
      </w:pPr>
      <w:bookmarkStart w:id="13" w:name="_Toc515103949"/>
      <w:r>
        <w:t>Recovered taxa</w:t>
      </w:r>
      <w:bookmarkEnd w:id="13"/>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Standard morphological analysis recovered 83 unique taxa identified to the genus level, plus a few taxa that were identified only to the family level for individuals whose genus identification could not be made. The metabarcoding data set yielded 194 otus at 97% sequence similarity that were assigned to 55 unique species belonging to 41 different genera. Although the 97% similarity cut-off produced otus in excess of the number of species recovered by taxonomy assignment, using lower cut-offs failed to recover some of the taxa. And since taxonomic identities to at least family level was needed for nematode community indices and trophic classifications, taxonomic diversity instead of otus richness was used. </w:t>
      </w:r>
    </w:p>
    <w:p w:rsidR="00164794" w:rsidRPr="008C352D" w:rsidRDefault="00164794" w:rsidP="00164794">
      <w:pPr>
        <w:spacing w:line="360" w:lineRule="auto"/>
        <w:rPr>
          <w:rFonts w:cs="Arial"/>
          <w:sz w:val="22"/>
        </w:rPr>
      </w:pPr>
    </w:p>
    <w:p w:rsidR="00164794" w:rsidRDefault="00164794" w:rsidP="00164794">
      <w:pPr>
        <w:pStyle w:val="Heading3"/>
        <w:spacing w:before="0"/>
        <w:ind w:left="0" w:firstLine="0"/>
      </w:pPr>
      <w:bookmarkStart w:id="14" w:name="_Toc515103950"/>
      <w:r>
        <w:t>Trophic Groupings</w:t>
      </w:r>
      <w:bookmarkEnd w:id="14"/>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Apart from the relative dominance of herbivorous nematodes in the metabarcoding data set, changes in the relative abundance of the different trophic groups followed similar patterns in both standard and metabarcoding data sets (</w:t>
      </w:r>
      <w:r w:rsidRPr="0023180E">
        <w:rPr>
          <w:rFonts w:ascii="Arial" w:hAnsi="Arial" w:cs="Arial"/>
          <w:sz w:val="22"/>
        </w:rPr>
        <w:fldChar w:fldCharType="begin"/>
      </w:r>
      <w:r w:rsidRPr="0023180E">
        <w:rPr>
          <w:rFonts w:ascii="Arial" w:hAnsi="Arial" w:cs="Arial"/>
          <w:sz w:val="22"/>
        </w:rPr>
        <w:instrText xml:space="preserve"> REF _Ref510000696 \h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 xml:space="preserve">Figure </w:t>
      </w:r>
      <w:r w:rsidRPr="0023180E">
        <w:rPr>
          <w:rFonts w:ascii="Arial" w:hAnsi="Arial" w:cs="Arial"/>
          <w:noProof/>
          <w:sz w:val="22"/>
        </w:rPr>
        <w:t>7.1</w:t>
      </w:r>
      <w:r w:rsidRPr="0023180E">
        <w:rPr>
          <w:rFonts w:ascii="Arial" w:hAnsi="Arial" w:cs="Arial"/>
          <w:sz w:val="22"/>
        </w:rPr>
        <w:fldChar w:fldCharType="end"/>
      </w:r>
      <w:r w:rsidRPr="0023180E">
        <w:rPr>
          <w:rFonts w:ascii="Arial" w:hAnsi="Arial" w:cs="Arial"/>
          <w:sz w:val="22"/>
        </w:rPr>
        <w:t xml:space="preserve">). Both data sets also revealed the numerical dominance of the bacterivorous and herbivorous nematodes under all treatments. Both showed that zero tillage favours herbivores most while deep tillage tends to be favourable for bacterivores. Across the traffic treatments, both data sets show minimal to non-existent difference in the distribution of the trophic types. Although predacious and omnivorous nematodes had low representations in the two data sets, this appeared to be more extreme in the metabarcoding data where they were rarely recovered from the samples. </w:t>
      </w:r>
    </w:p>
    <w:p w:rsidR="00164794" w:rsidRPr="002D79B5" w:rsidRDefault="00164794" w:rsidP="00164794">
      <w:pPr>
        <w:spacing w:after="120" w:line="360" w:lineRule="auto"/>
        <w:rPr>
          <w:rFonts w:cs="Arial"/>
          <w:sz w:val="22"/>
        </w:rPr>
      </w:pPr>
    </w:p>
    <w:p w:rsidR="00164794" w:rsidRDefault="00164794" w:rsidP="00164794">
      <w:pPr>
        <w:pStyle w:val="Heading3"/>
        <w:spacing w:before="0"/>
        <w:ind w:left="0" w:firstLine="0"/>
      </w:pPr>
      <w:bookmarkStart w:id="15" w:name="_Toc515103951"/>
      <w:r>
        <w:t>Nematode Community indices</w:t>
      </w:r>
      <w:bookmarkEnd w:id="15"/>
    </w:p>
    <w:p w:rsidR="00164794" w:rsidRPr="0023180E" w:rsidRDefault="00164794" w:rsidP="0023180E">
      <w:pPr>
        <w:spacing w:line="360" w:lineRule="auto"/>
        <w:jc w:val="both"/>
        <w:rPr>
          <w:rFonts w:ascii="Arial" w:hAnsi="Arial" w:cs="Arial"/>
          <w:sz w:val="22"/>
        </w:rPr>
      </w:pPr>
      <w:r w:rsidRPr="0023180E">
        <w:rPr>
          <w:rFonts w:ascii="Arial" w:hAnsi="Arial" w:cs="Arial"/>
          <w:sz w:val="22"/>
        </w:rPr>
        <w:t xml:space="preserve">Two terminologies used in this section and the subsequent ones need clarification. The term </w:t>
      </w:r>
      <w:r w:rsidRPr="0023180E">
        <w:rPr>
          <w:rFonts w:ascii="Arial" w:hAnsi="Arial" w:cs="Arial"/>
          <w:b/>
          <w:sz w:val="22"/>
        </w:rPr>
        <w:t>data format</w:t>
      </w:r>
      <w:r w:rsidRPr="0023180E">
        <w:rPr>
          <w:rFonts w:ascii="Arial" w:hAnsi="Arial" w:cs="Arial"/>
          <w:sz w:val="22"/>
        </w:rPr>
        <w:t xml:space="preserve"> is used to refer to unrarefied, rarefied or presence-absence data while </w:t>
      </w:r>
      <w:r w:rsidRPr="0023180E">
        <w:rPr>
          <w:rFonts w:ascii="Arial" w:hAnsi="Arial" w:cs="Arial"/>
          <w:b/>
          <w:sz w:val="22"/>
        </w:rPr>
        <w:t>data type</w:t>
      </w:r>
      <w:r w:rsidRPr="0023180E">
        <w:rPr>
          <w:rFonts w:ascii="Arial" w:hAnsi="Arial" w:cs="Arial"/>
          <w:sz w:val="22"/>
        </w:rPr>
        <w:t xml:space="preserve"> refers to the standard morphological or metabarcoding data. For both the standard and metabarcoding data types, indices were calculated from three different data formats: the unrarefied data, data rarefied to 100 and 50, respectively and binary data. Attention was focussed only on MI and MI-derived indices alone, namely, MI, MI2-5 PPI and Sigma MI. Structure, channel and basal indices between the two data types were too different, hence their exclusion. Of the three data formats, the binary data revealed the most deviations between indices from the standard and metabarcoding data. By using rarefied or unrarefied data, most of the indices were not different between the two data types (</w:t>
      </w:r>
      <w:r w:rsidRPr="0023180E">
        <w:rPr>
          <w:rFonts w:ascii="Arial" w:hAnsi="Arial" w:cs="Arial"/>
          <w:sz w:val="22"/>
        </w:rPr>
        <w:fldChar w:fldCharType="begin"/>
      </w:r>
      <w:r w:rsidRPr="0023180E">
        <w:rPr>
          <w:rFonts w:ascii="Arial" w:hAnsi="Arial" w:cs="Arial"/>
          <w:sz w:val="22"/>
        </w:rPr>
        <w:instrText xml:space="preserve"> REF _Ref514710567 \h </w:instrText>
      </w:r>
      <w:r w:rsidR="0023180E" w:rsidRPr="0023180E">
        <w:rPr>
          <w:rFonts w:ascii="Arial" w:hAnsi="Arial" w:cs="Arial"/>
          <w:sz w:val="22"/>
        </w:rPr>
        <w:instrText xml:space="preserve">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szCs w:val="22"/>
        </w:rPr>
        <w:t xml:space="preserve">Table </w:t>
      </w:r>
      <w:r w:rsidRPr="0023180E">
        <w:rPr>
          <w:rFonts w:ascii="Arial" w:hAnsi="Arial" w:cs="Arial"/>
          <w:noProof/>
          <w:sz w:val="22"/>
          <w:szCs w:val="22"/>
        </w:rPr>
        <w:t>7</w:t>
      </w:r>
      <w:r w:rsidRPr="0023180E">
        <w:rPr>
          <w:rFonts w:ascii="Arial" w:hAnsi="Arial" w:cs="Arial"/>
          <w:sz w:val="22"/>
          <w:szCs w:val="22"/>
        </w:rPr>
        <w:t>.</w:t>
      </w:r>
      <w:r w:rsidRPr="0023180E">
        <w:rPr>
          <w:rFonts w:ascii="Arial" w:hAnsi="Arial" w:cs="Arial"/>
          <w:noProof/>
          <w:sz w:val="22"/>
          <w:szCs w:val="22"/>
        </w:rPr>
        <w:t>1</w:t>
      </w:r>
      <w:r w:rsidRPr="0023180E">
        <w:rPr>
          <w:rFonts w:ascii="Arial" w:hAnsi="Arial" w:cs="Arial"/>
          <w:sz w:val="22"/>
        </w:rPr>
        <w:fldChar w:fldCharType="end"/>
      </w:r>
      <w:r w:rsidRPr="0023180E">
        <w:rPr>
          <w:rFonts w:ascii="Arial" w:hAnsi="Arial" w:cs="Arial"/>
          <w:sz w:val="22"/>
        </w:rPr>
        <w:t xml:space="preserve">). Plant-parasitic index was the only index that showed no significant divergence between the two data types across all data formats. Maturity index 2-5 varied significantly between the two data </w:t>
      </w:r>
      <w:r w:rsidRPr="0023180E">
        <w:rPr>
          <w:rFonts w:ascii="Arial" w:hAnsi="Arial" w:cs="Arial"/>
          <w:sz w:val="22"/>
        </w:rPr>
        <w:lastRenderedPageBreak/>
        <w:t>types for all treatments in at least one data format. There was generally more evidence to support the fact that indices computed from the three data types did not differ than there was to support otherwise.</w:t>
      </w:r>
    </w:p>
    <w:p w:rsidR="00164794" w:rsidRDefault="00164794" w:rsidP="00164794">
      <w:pPr>
        <w:rPr>
          <w:rFonts w:cs="Arial"/>
        </w:rPr>
      </w:pPr>
    </w:p>
    <w:p w:rsidR="00164794" w:rsidRDefault="00164794" w:rsidP="00164794">
      <w:pPr>
        <w:rPr>
          <w:rFonts w:cs="Arial"/>
        </w:rPr>
      </w:pPr>
    </w:p>
    <w:p w:rsidR="00164794" w:rsidRDefault="00164794" w:rsidP="00164794">
      <w:pPr>
        <w:rPr>
          <w:rFonts w:cs="Arial"/>
        </w:rPr>
      </w:pPr>
      <w:r>
        <w:rPr>
          <w:rFonts w:cs="Arial"/>
          <w:noProof/>
          <w:lang w:eastAsia="en-GB"/>
        </w:rPr>
        <w:drawing>
          <wp:inline distT="0" distB="0" distL="0" distR="0" wp14:anchorId="06EDE4F5" wp14:editId="6F754898">
            <wp:extent cx="2516863" cy="3096260"/>
            <wp:effectExtent l="0" t="0" r="10795" b="15240"/>
            <wp:docPr id="74" name="Chart 74">
              <a:extLst xmlns:a="http://schemas.openxmlformats.org/drawingml/2006/main">
                <a:ext uri="{FF2B5EF4-FFF2-40B4-BE49-F238E27FC236}">
                  <a16:creationId xmlns:a16="http://schemas.microsoft.com/office/drawing/2014/main" id="{42FD046A-A52D-F14F-A602-C61579DC1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cs="Arial"/>
        </w:rPr>
        <w:t xml:space="preserve"> </w:t>
      </w:r>
      <w:r>
        <w:rPr>
          <w:rFonts w:cs="Arial"/>
          <w:noProof/>
          <w:lang w:eastAsia="en-GB"/>
        </w:rPr>
        <w:drawing>
          <wp:inline distT="0" distB="0" distL="0" distR="0" wp14:anchorId="016ED4E7" wp14:editId="13EA41C4">
            <wp:extent cx="2516863" cy="3086735"/>
            <wp:effectExtent l="0" t="0" r="10795" b="12065"/>
            <wp:docPr id="73" name="Chart 73">
              <a:extLst xmlns:a="http://schemas.openxmlformats.org/drawingml/2006/main">
                <a:ext uri="{FF2B5EF4-FFF2-40B4-BE49-F238E27FC236}">
                  <a16:creationId xmlns:a16="http://schemas.microsoft.com/office/drawing/2014/main" id="{E2145D23-D99E-F24D-AD7D-E78C026ADD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64794" w:rsidRDefault="00164794" w:rsidP="00164794">
      <w:pPr>
        <w:keepNext/>
        <w:rPr>
          <w:rFonts w:cs="Arial"/>
        </w:rPr>
      </w:pPr>
      <w:r>
        <w:rPr>
          <w:rFonts w:cs="Arial"/>
          <w:noProof/>
          <w:lang w:eastAsia="en-GB"/>
        </w:rPr>
        <w:drawing>
          <wp:inline distT="0" distB="0" distL="0" distR="0" wp14:anchorId="1CE9B740" wp14:editId="4D27D652">
            <wp:extent cx="2516863" cy="3005750"/>
            <wp:effectExtent l="0" t="0" r="10795" b="17145"/>
            <wp:docPr id="72" name="Chart 72">
              <a:extLst xmlns:a="http://schemas.openxmlformats.org/drawingml/2006/main">
                <a:ext uri="{FF2B5EF4-FFF2-40B4-BE49-F238E27FC236}">
                  <a16:creationId xmlns:a16="http://schemas.microsoft.com/office/drawing/2014/main" id="{C010583C-AE2B-A444-9977-3CFBC3811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cs="Arial"/>
        </w:rPr>
        <w:t xml:space="preserve"> </w:t>
      </w:r>
      <w:r>
        <w:rPr>
          <w:rFonts w:cs="Arial"/>
          <w:noProof/>
          <w:lang w:eastAsia="en-GB"/>
        </w:rPr>
        <w:drawing>
          <wp:inline distT="0" distB="0" distL="0" distR="0" wp14:anchorId="0C55F59A" wp14:editId="58BBBCA8">
            <wp:extent cx="2516863" cy="2995930"/>
            <wp:effectExtent l="0" t="0" r="10795" b="13970"/>
            <wp:docPr id="71" name="Chart 71">
              <a:extLst xmlns:a="http://schemas.openxmlformats.org/drawingml/2006/main">
                <a:ext uri="{FF2B5EF4-FFF2-40B4-BE49-F238E27FC236}">
                  <a16:creationId xmlns:a16="http://schemas.microsoft.com/office/drawing/2014/main" id="{EABCD01F-2A93-384C-A164-FF4BD93648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64794" w:rsidRDefault="00164794" w:rsidP="00164794">
      <w:pPr>
        <w:keepNext/>
        <w:rPr>
          <w:rFonts w:cs="Arial"/>
        </w:rPr>
      </w:pPr>
    </w:p>
    <w:p w:rsidR="00164794" w:rsidRDefault="00164794" w:rsidP="00164794">
      <w:pPr>
        <w:pStyle w:val="Caption"/>
        <w:rPr>
          <w:rFonts w:cs="Arial"/>
          <w:sz w:val="22"/>
        </w:rPr>
      </w:pPr>
      <w:bookmarkStart w:id="16" w:name="_Ref510000696"/>
      <w:bookmarkStart w:id="17" w:name="_Toc515364018"/>
      <w:r>
        <w:rPr>
          <w:rFonts w:cs="Arial"/>
          <w:sz w:val="22"/>
        </w:rPr>
        <w:t xml:space="preserve">Figure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bookmarkEnd w:id="16"/>
      <w:r>
        <w:rPr>
          <w:rFonts w:cs="Arial"/>
          <w:sz w:val="22"/>
        </w:rPr>
        <w:t>.1. Nematode trophic groups’ distribution across traffic and tillage treatments from standard and metabarcoding data sets. STD represents standard data set and MTB represents metabarcoding data sets.</w:t>
      </w:r>
      <w:bookmarkEnd w:id="17"/>
    </w:p>
    <w:p w:rsidR="00164794" w:rsidRDefault="00164794" w:rsidP="00164794">
      <w:pPr>
        <w:jc w:val="both"/>
        <w:rPr>
          <w:rFonts w:cs="Arial"/>
          <w:b/>
        </w:rPr>
      </w:pPr>
    </w:p>
    <w:p w:rsidR="00164794" w:rsidRDefault="00164794" w:rsidP="00164794">
      <w:pPr>
        <w:jc w:val="both"/>
        <w:rPr>
          <w:rFonts w:cs="Arial"/>
        </w:rPr>
      </w:pPr>
    </w:p>
    <w:p w:rsidR="00164794" w:rsidRDefault="00164794" w:rsidP="00164794">
      <w:pPr>
        <w:jc w:val="both"/>
        <w:rPr>
          <w:rFonts w:cs="Arial"/>
        </w:rPr>
      </w:pPr>
    </w:p>
    <w:p w:rsidR="00164794" w:rsidRDefault="00164794" w:rsidP="00164794">
      <w:pPr>
        <w:jc w:val="both"/>
        <w:rPr>
          <w:rFonts w:cs="Arial"/>
        </w:rPr>
      </w:pPr>
    </w:p>
    <w:p w:rsidR="00164794" w:rsidRDefault="00164794" w:rsidP="00164794">
      <w:pPr>
        <w:jc w:val="both"/>
        <w:rPr>
          <w:rFonts w:cs="Arial"/>
        </w:rPr>
      </w:pPr>
    </w:p>
    <w:p w:rsidR="00164794" w:rsidRPr="00A0700E" w:rsidRDefault="00164794" w:rsidP="00164794"/>
    <w:p w:rsidR="00164794" w:rsidRPr="00580EBA" w:rsidRDefault="00164794" w:rsidP="00164794">
      <w:pPr>
        <w:pStyle w:val="Caption"/>
        <w:keepNext/>
        <w:rPr>
          <w:sz w:val="22"/>
          <w:szCs w:val="22"/>
        </w:rPr>
      </w:pPr>
      <w:bookmarkStart w:id="18" w:name="_Ref514710567"/>
      <w:bookmarkStart w:id="19" w:name="_Toc515224101"/>
      <w:r w:rsidRPr="00A0700E">
        <w:rPr>
          <w:sz w:val="22"/>
          <w:szCs w:val="22"/>
        </w:rPr>
        <w:t xml:space="preserve">Table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7</w:t>
      </w:r>
      <w:r>
        <w:rPr>
          <w:sz w:val="22"/>
          <w:szCs w:val="22"/>
        </w:rPr>
        <w:fldChar w:fldCharType="end"/>
      </w:r>
      <w:bookmarkEnd w:id="18"/>
      <w:r>
        <w:rPr>
          <w:sz w:val="22"/>
          <w:szCs w:val="22"/>
        </w:rPr>
        <w:t xml:space="preserve">.1. </w:t>
      </w:r>
      <w:r w:rsidRPr="00A0700E">
        <w:rPr>
          <w:rFonts w:cs="Arial"/>
          <w:sz w:val="22"/>
          <w:szCs w:val="22"/>
        </w:rPr>
        <w:t xml:space="preserve">Comparison between MI-family indices calculated from standard and metabarcoding data types from raw, rarefied and </w:t>
      </w:r>
      <w:r>
        <w:rPr>
          <w:rFonts w:cs="Arial"/>
          <w:sz w:val="22"/>
          <w:szCs w:val="22"/>
        </w:rPr>
        <w:t>the binary</w:t>
      </w:r>
      <w:r w:rsidRPr="00A0700E">
        <w:rPr>
          <w:rFonts w:cs="Arial"/>
          <w:sz w:val="22"/>
          <w:szCs w:val="22"/>
        </w:rPr>
        <w:t xml:space="preserve"> data formats under different traffic and tillage treatments. Numbers are means calculated for each treatment group.</w:t>
      </w:r>
      <w:r>
        <w:rPr>
          <w:rFonts w:cs="Arial"/>
          <w:sz w:val="22"/>
          <w:szCs w:val="22"/>
        </w:rPr>
        <w:t xml:space="preserve"> Insignificant </w:t>
      </w:r>
      <w:r w:rsidRPr="00580EBA">
        <w:rPr>
          <w:rFonts w:cs="Arial"/>
          <w:i w:val="0"/>
          <w:sz w:val="22"/>
          <w:szCs w:val="22"/>
        </w:rPr>
        <w:t>P</w:t>
      </w:r>
      <w:r>
        <w:rPr>
          <w:rFonts w:cs="Arial"/>
          <w:i w:val="0"/>
          <w:sz w:val="22"/>
          <w:szCs w:val="22"/>
        </w:rPr>
        <w:t xml:space="preserve"> </w:t>
      </w:r>
      <w:r>
        <w:rPr>
          <w:rFonts w:cs="Arial"/>
          <w:sz w:val="22"/>
          <w:szCs w:val="22"/>
        </w:rPr>
        <w:t>values are highlighted in grey.</w:t>
      </w:r>
      <w:bookmarkEnd w:id="19"/>
    </w:p>
    <w:tbl>
      <w:tblPr>
        <w:tblStyle w:val="TableGrid"/>
        <w:tblW w:w="5000" w:type="pct"/>
        <w:tblLook w:val="04A0" w:firstRow="1" w:lastRow="0" w:firstColumn="1" w:lastColumn="0" w:noHBand="0" w:noVBand="1"/>
      </w:tblPr>
      <w:tblGrid>
        <w:gridCol w:w="1049"/>
        <w:gridCol w:w="835"/>
        <w:gridCol w:w="722"/>
        <w:gridCol w:w="778"/>
        <w:gridCol w:w="723"/>
        <w:gridCol w:w="779"/>
        <w:gridCol w:w="725"/>
        <w:gridCol w:w="779"/>
        <w:gridCol w:w="792"/>
        <w:gridCol w:w="920"/>
        <w:gridCol w:w="918"/>
      </w:tblGrid>
      <w:tr w:rsidR="00164794" w:rsidTr="009F65B3">
        <w:trPr>
          <w:trHeight w:val="232"/>
        </w:trPr>
        <w:tc>
          <w:tcPr>
            <w:tcW w:w="581" w:type="pct"/>
            <w:tcBorders>
              <w:top w:val="single" w:sz="4" w:space="0" w:color="auto"/>
              <w:left w:val="nil"/>
              <w:bottom w:val="single" w:sz="4" w:space="0" w:color="auto"/>
              <w:right w:val="nil"/>
            </w:tcBorders>
          </w:tcPr>
          <w:p w:rsidR="00164794" w:rsidRDefault="00164794" w:rsidP="009F65B3">
            <w:pPr>
              <w:jc w:val="center"/>
              <w:rPr>
                <w:rFonts w:cs="Arial"/>
                <w:sz w:val="20"/>
                <w:szCs w:val="22"/>
              </w:rPr>
            </w:pPr>
          </w:p>
        </w:tc>
        <w:tc>
          <w:tcPr>
            <w:tcW w:w="463" w:type="pct"/>
            <w:tcBorders>
              <w:top w:val="single" w:sz="4" w:space="0" w:color="auto"/>
              <w:left w:val="nil"/>
              <w:bottom w:val="single" w:sz="4" w:space="0" w:color="auto"/>
              <w:right w:val="nil"/>
            </w:tcBorders>
            <w:hideMark/>
          </w:tcPr>
          <w:p w:rsidR="00164794" w:rsidRDefault="00164794" w:rsidP="009F65B3">
            <w:pPr>
              <w:jc w:val="center"/>
              <w:rPr>
                <w:rFonts w:cs="Arial"/>
                <w:sz w:val="20"/>
                <w:szCs w:val="22"/>
              </w:rPr>
            </w:pPr>
            <w:r>
              <w:rPr>
                <w:rFonts w:cs="Arial"/>
                <w:sz w:val="20"/>
                <w:szCs w:val="22"/>
              </w:rPr>
              <w:t>Index</w:t>
            </w:r>
          </w:p>
        </w:tc>
        <w:tc>
          <w:tcPr>
            <w:tcW w:w="831" w:type="pct"/>
            <w:gridSpan w:val="2"/>
            <w:tcBorders>
              <w:top w:val="single" w:sz="4" w:space="0" w:color="auto"/>
              <w:left w:val="nil"/>
              <w:bottom w:val="single" w:sz="4" w:space="0" w:color="auto"/>
              <w:right w:val="nil"/>
            </w:tcBorders>
            <w:hideMark/>
          </w:tcPr>
          <w:p w:rsidR="00164794" w:rsidRDefault="00164794" w:rsidP="009F65B3">
            <w:pPr>
              <w:jc w:val="center"/>
              <w:rPr>
                <w:rFonts w:cs="Arial"/>
                <w:sz w:val="20"/>
                <w:szCs w:val="22"/>
              </w:rPr>
            </w:pPr>
            <w:r>
              <w:rPr>
                <w:rFonts w:cs="Arial"/>
                <w:sz w:val="20"/>
                <w:szCs w:val="22"/>
              </w:rPr>
              <w:t>Unrarefied</w:t>
            </w:r>
          </w:p>
        </w:tc>
        <w:tc>
          <w:tcPr>
            <w:tcW w:w="832" w:type="pct"/>
            <w:gridSpan w:val="2"/>
            <w:tcBorders>
              <w:top w:val="single" w:sz="4" w:space="0" w:color="auto"/>
              <w:left w:val="nil"/>
              <w:bottom w:val="single" w:sz="4" w:space="0" w:color="auto"/>
              <w:right w:val="nil"/>
            </w:tcBorders>
            <w:hideMark/>
          </w:tcPr>
          <w:p w:rsidR="00164794" w:rsidRDefault="00164794" w:rsidP="009F65B3">
            <w:pPr>
              <w:jc w:val="center"/>
              <w:rPr>
                <w:rFonts w:cs="Arial"/>
                <w:sz w:val="20"/>
                <w:szCs w:val="22"/>
              </w:rPr>
            </w:pPr>
            <w:r>
              <w:rPr>
                <w:rFonts w:cs="Arial"/>
                <w:sz w:val="20"/>
                <w:szCs w:val="22"/>
              </w:rPr>
              <w:t>Rarefied</w:t>
            </w:r>
          </w:p>
        </w:tc>
        <w:tc>
          <w:tcPr>
            <w:tcW w:w="833" w:type="pct"/>
            <w:gridSpan w:val="2"/>
            <w:tcBorders>
              <w:top w:val="single" w:sz="4" w:space="0" w:color="auto"/>
              <w:left w:val="nil"/>
              <w:bottom w:val="single" w:sz="4" w:space="0" w:color="auto"/>
              <w:right w:val="nil"/>
            </w:tcBorders>
            <w:hideMark/>
          </w:tcPr>
          <w:p w:rsidR="00164794" w:rsidRDefault="00164794" w:rsidP="009F65B3">
            <w:pPr>
              <w:jc w:val="center"/>
              <w:rPr>
                <w:rFonts w:cs="Arial"/>
                <w:sz w:val="20"/>
                <w:szCs w:val="22"/>
              </w:rPr>
            </w:pPr>
            <w:r>
              <w:rPr>
                <w:rFonts w:cs="Arial"/>
                <w:sz w:val="20"/>
                <w:szCs w:val="22"/>
              </w:rPr>
              <w:t>Pres-Abs</w:t>
            </w:r>
          </w:p>
        </w:tc>
        <w:tc>
          <w:tcPr>
            <w:tcW w:w="1460" w:type="pct"/>
            <w:gridSpan w:val="3"/>
            <w:tcBorders>
              <w:top w:val="single" w:sz="4" w:space="0" w:color="auto"/>
              <w:left w:val="nil"/>
              <w:bottom w:val="single" w:sz="4" w:space="0" w:color="auto"/>
              <w:right w:val="nil"/>
            </w:tcBorders>
            <w:hideMark/>
          </w:tcPr>
          <w:p w:rsidR="00164794" w:rsidRDefault="00164794" w:rsidP="009F65B3">
            <w:pPr>
              <w:jc w:val="center"/>
              <w:rPr>
                <w:rFonts w:cs="Arial"/>
                <w:sz w:val="20"/>
                <w:szCs w:val="22"/>
              </w:rPr>
            </w:pPr>
            <w:r>
              <w:rPr>
                <w:rFonts w:cs="Arial"/>
                <w:sz w:val="20"/>
                <w:szCs w:val="22"/>
              </w:rPr>
              <w:t xml:space="preserve">Welch’s t-test </w:t>
            </w:r>
            <w:r>
              <w:rPr>
                <w:rFonts w:cs="Arial"/>
                <w:i/>
                <w:sz w:val="20"/>
                <w:szCs w:val="22"/>
              </w:rPr>
              <w:t>P</w:t>
            </w:r>
            <w:r>
              <w:rPr>
                <w:rFonts w:cs="Arial"/>
                <w:sz w:val="20"/>
                <w:szCs w:val="22"/>
              </w:rPr>
              <w:t xml:space="preserve"> value</w:t>
            </w:r>
          </w:p>
        </w:tc>
      </w:tr>
      <w:tr w:rsidR="00164794" w:rsidTr="009F65B3">
        <w:trPr>
          <w:trHeight w:val="232"/>
        </w:trPr>
        <w:tc>
          <w:tcPr>
            <w:tcW w:w="581" w:type="pct"/>
            <w:tcBorders>
              <w:top w:val="single" w:sz="4" w:space="0" w:color="auto"/>
              <w:left w:val="nil"/>
              <w:bottom w:val="nil"/>
              <w:right w:val="nil"/>
            </w:tcBorders>
            <w:hideMark/>
          </w:tcPr>
          <w:p w:rsidR="00164794" w:rsidRDefault="00164794" w:rsidP="009F65B3">
            <w:pPr>
              <w:rPr>
                <w:rFonts w:cs="Arial"/>
                <w:sz w:val="20"/>
                <w:szCs w:val="22"/>
              </w:rPr>
            </w:pPr>
            <w:r>
              <w:rPr>
                <w:rFonts w:cs="Arial"/>
                <w:sz w:val="20"/>
                <w:szCs w:val="22"/>
              </w:rPr>
              <w:t>Traffic</w:t>
            </w:r>
          </w:p>
        </w:tc>
        <w:tc>
          <w:tcPr>
            <w:tcW w:w="463" w:type="pct"/>
            <w:tcBorders>
              <w:top w:val="single" w:sz="4" w:space="0" w:color="auto"/>
              <w:left w:val="nil"/>
              <w:bottom w:val="nil"/>
              <w:right w:val="nil"/>
            </w:tcBorders>
          </w:tcPr>
          <w:p w:rsidR="00164794" w:rsidRDefault="00164794" w:rsidP="009F65B3">
            <w:pPr>
              <w:rPr>
                <w:rFonts w:cs="Arial"/>
                <w:sz w:val="20"/>
                <w:szCs w:val="22"/>
              </w:rPr>
            </w:pPr>
          </w:p>
        </w:tc>
        <w:tc>
          <w:tcPr>
            <w:tcW w:w="831" w:type="pct"/>
            <w:gridSpan w:val="2"/>
            <w:tcBorders>
              <w:top w:val="single" w:sz="4" w:space="0" w:color="auto"/>
              <w:left w:val="nil"/>
              <w:bottom w:val="nil"/>
              <w:right w:val="nil"/>
            </w:tcBorders>
          </w:tcPr>
          <w:p w:rsidR="00164794" w:rsidRDefault="00164794" w:rsidP="009F65B3">
            <w:pPr>
              <w:rPr>
                <w:rFonts w:cs="Arial"/>
                <w:sz w:val="20"/>
                <w:szCs w:val="22"/>
              </w:rPr>
            </w:pPr>
          </w:p>
        </w:tc>
        <w:tc>
          <w:tcPr>
            <w:tcW w:w="832" w:type="pct"/>
            <w:gridSpan w:val="2"/>
            <w:tcBorders>
              <w:top w:val="single" w:sz="4" w:space="0" w:color="auto"/>
              <w:left w:val="nil"/>
              <w:bottom w:val="nil"/>
              <w:right w:val="nil"/>
            </w:tcBorders>
          </w:tcPr>
          <w:p w:rsidR="00164794" w:rsidRDefault="00164794" w:rsidP="009F65B3">
            <w:pPr>
              <w:rPr>
                <w:rFonts w:cs="Arial"/>
                <w:sz w:val="20"/>
                <w:szCs w:val="22"/>
              </w:rPr>
            </w:pPr>
          </w:p>
        </w:tc>
        <w:tc>
          <w:tcPr>
            <w:tcW w:w="833" w:type="pct"/>
            <w:gridSpan w:val="2"/>
            <w:tcBorders>
              <w:top w:val="single" w:sz="4" w:space="0" w:color="auto"/>
              <w:left w:val="nil"/>
              <w:bottom w:val="nil"/>
              <w:right w:val="nil"/>
            </w:tcBorders>
          </w:tcPr>
          <w:p w:rsidR="00164794" w:rsidRDefault="00164794" w:rsidP="009F65B3">
            <w:pPr>
              <w:rPr>
                <w:rFonts w:cs="Arial"/>
                <w:sz w:val="20"/>
                <w:szCs w:val="22"/>
              </w:rPr>
            </w:pPr>
          </w:p>
        </w:tc>
        <w:tc>
          <w:tcPr>
            <w:tcW w:w="1460" w:type="pct"/>
            <w:gridSpan w:val="3"/>
            <w:tcBorders>
              <w:top w:val="single" w:sz="4" w:space="0" w:color="auto"/>
              <w:left w:val="nil"/>
              <w:bottom w:val="nil"/>
              <w:right w:val="nil"/>
            </w:tcBorders>
          </w:tcPr>
          <w:p w:rsidR="00164794" w:rsidRDefault="00164794" w:rsidP="009F65B3">
            <w:pPr>
              <w:rPr>
                <w:rFonts w:cs="Arial"/>
                <w:sz w:val="20"/>
                <w:szCs w:val="22"/>
              </w:rPr>
            </w:pPr>
          </w:p>
        </w:tc>
      </w:tr>
      <w:tr w:rsidR="00164794" w:rsidTr="009F65B3">
        <w:trPr>
          <w:trHeight w:val="232"/>
        </w:trPr>
        <w:tc>
          <w:tcPr>
            <w:tcW w:w="581" w:type="pct"/>
            <w:tcBorders>
              <w:top w:val="nil"/>
              <w:left w:val="nil"/>
              <w:bottom w:val="nil"/>
              <w:right w:val="nil"/>
            </w:tcBorders>
            <w:hideMark/>
          </w:tcPr>
          <w:p w:rsidR="00164794" w:rsidRDefault="00164794" w:rsidP="009F65B3">
            <w:pPr>
              <w:rPr>
                <w:rFonts w:cs="Arial"/>
                <w:sz w:val="20"/>
                <w:szCs w:val="22"/>
              </w:rPr>
            </w:pPr>
            <w:r>
              <w:rPr>
                <w:rFonts w:cs="Arial"/>
                <w:sz w:val="20"/>
                <w:szCs w:val="22"/>
              </w:rPr>
              <w:t>CTF</w:t>
            </w:r>
          </w:p>
        </w:tc>
        <w:tc>
          <w:tcPr>
            <w:tcW w:w="463" w:type="pct"/>
            <w:tcBorders>
              <w:top w:val="nil"/>
              <w:left w:val="nil"/>
              <w:bottom w:val="nil"/>
              <w:right w:val="nil"/>
            </w:tcBorders>
          </w:tcPr>
          <w:p w:rsidR="00164794" w:rsidRDefault="00164794" w:rsidP="009F65B3">
            <w:pPr>
              <w:rPr>
                <w:rFonts w:cs="Arial"/>
                <w:sz w:val="20"/>
                <w:szCs w:val="22"/>
              </w:rPr>
            </w:pP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MTB</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MOR</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MTB</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MOR</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MTB</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MOR</w:t>
            </w:r>
          </w:p>
        </w:tc>
        <w:tc>
          <w:tcPr>
            <w:tcW w:w="439" w:type="pct"/>
            <w:tcBorders>
              <w:top w:val="nil"/>
              <w:left w:val="nil"/>
              <w:bottom w:val="nil"/>
              <w:right w:val="nil"/>
            </w:tcBorders>
            <w:hideMark/>
          </w:tcPr>
          <w:p w:rsidR="00164794" w:rsidRDefault="00164794" w:rsidP="009F65B3">
            <w:pPr>
              <w:rPr>
                <w:rFonts w:cs="Arial"/>
                <w:sz w:val="20"/>
                <w:szCs w:val="22"/>
              </w:rPr>
            </w:pPr>
            <w:r>
              <w:rPr>
                <w:rFonts w:cs="Arial"/>
                <w:sz w:val="20"/>
                <w:szCs w:val="22"/>
              </w:rPr>
              <w:t>UNR</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RAR</w:t>
            </w:r>
          </w:p>
        </w:tc>
        <w:tc>
          <w:tcPr>
            <w:tcW w:w="510" w:type="pct"/>
            <w:tcBorders>
              <w:top w:val="nil"/>
              <w:left w:val="nil"/>
              <w:bottom w:val="nil"/>
              <w:right w:val="nil"/>
            </w:tcBorders>
            <w:hideMark/>
          </w:tcPr>
          <w:p w:rsidR="00164794" w:rsidRDefault="00164794" w:rsidP="009F65B3">
            <w:pPr>
              <w:rPr>
                <w:rFonts w:cs="Arial"/>
                <w:sz w:val="20"/>
                <w:szCs w:val="22"/>
              </w:rPr>
            </w:pPr>
            <w:proofErr w:type="spellStart"/>
            <w:r>
              <w:rPr>
                <w:rFonts w:cs="Arial"/>
                <w:sz w:val="20"/>
                <w:szCs w:val="22"/>
              </w:rPr>
              <w:t>PrAb</w:t>
            </w:r>
            <w:proofErr w:type="spellEnd"/>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1.75</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1.99</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1.79</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2.03</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1.77</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2.43</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0.100</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0.163</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rPr>
              <w:t>&lt;0.001</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MI2-5</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2.05</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2.62</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2.62</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2.06</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2.73</w:t>
            </w:r>
          </w:p>
        </w:tc>
        <w:tc>
          <w:tcPr>
            <w:tcW w:w="439"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0.003</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&lt;0.001</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&lt;0.001</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PPI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2.82</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2.63</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2.75</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2.65</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2.81</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2.81</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0.132</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0.472</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1.000</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proofErr w:type="spellStart"/>
            <w:r>
              <w:rPr>
                <w:rFonts w:cs="Arial"/>
                <w:sz w:val="20"/>
                <w:szCs w:val="22"/>
              </w:rPr>
              <w:t>SigMI</w:t>
            </w:r>
            <w:proofErr w:type="spellEnd"/>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2.41</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2.22</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2.49</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2.24</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2.31</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2.57</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0.255</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0.297</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rPr>
              <w:t>0.001</w:t>
            </w:r>
          </w:p>
        </w:tc>
      </w:tr>
      <w:tr w:rsidR="00164794" w:rsidTr="009F65B3">
        <w:trPr>
          <w:trHeight w:val="232"/>
        </w:trPr>
        <w:tc>
          <w:tcPr>
            <w:tcW w:w="581" w:type="pct"/>
            <w:tcBorders>
              <w:top w:val="nil"/>
              <w:left w:val="nil"/>
              <w:bottom w:val="nil"/>
              <w:right w:val="nil"/>
            </w:tcBorders>
            <w:hideMark/>
          </w:tcPr>
          <w:p w:rsidR="00164794" w:rsidRDefault="00164794" w:rsidP="009F65B3">
            <w:pPr>
              <w:rPr>
                <w:rFonts w:cs="Arial"/>
                <w:sz w:val="20"/>
                <w:szCs w:val="22"/>
              </w:rPr>
            </w:pPr>
            <w:r>
              <w:rPr>
                <w:rFonts w:cs="Arial"/>
                <w:sz w:val="20"/>
                <w:szCs w:val="22"/>
              </w:rPr>
              <w:t>LGP</w:t>
            </w:r>
          </w:p>
        </w:tc>
        <w:tc>
          <w:tcPr>
            <w:tcW w:w="463" w:type="pct"/>
            <w:tcBorders>
              <w:top w:val="nil"/>
              <w:left w:val="nil"/>
              <w:bottom w:val="nil"/>
              <w:right w:val="nil"/>
            </w:tcBorders>
          </w:tcPr>
          <w:p w:rsidR="00164794" w:rsidRDefault="00164794" w:rsidP="009F65B3">
            <w:pPr>
              <w:rPr>
                <w:rFonts w:cs="Arial"/>
                <w:sz w:val="20"/>
                <w:szCs w:val="22"/>
              </w:rPr>
            </w:pPr>
          </w:p>
        </w:tc>
        <w:tc>
          <w:tcPr>
            <w:tcW w:w="400" w:type="pct"/>
            <w:tcBorders>
              <w:top w:val="nil"/>
              <w:left w:val="nil"/>
              <w:bottom w:val="nil"/>
              <w:right w:val="nil"/>
            </w:tcBorders>
          </w:tcPr>
          <w:p w:rsidR="00164794" w:rsidRDefault="00164794" w:rsidP="009F65B3">
            <w:pPr>
              <w:rPr>
                <w:rFonts w:cs="Arial"/>
                <w:sz w:val="20"/>
                <w:szCs w:val="22"/>
              </w:rPr>
            </w:pPr>
          </w:p>
        </w:tc>
        <w:tc>
          <w:tcPr>
            <w:tcW w:w="431" w:type="pct"/>
            <w:tcBorders>
              <w:top w:val="nil"/>
              <w:left w:val="nil"/>
              <w:bottom w:val="nil"/>
              <w:right w:val="nil"/>
            </w:tcBorders>
          </w:tcPr>
          <w:p w:rsidR="00164794" w:rsidRDefault="00164794" w:rsidP="009F65B3">
            <w:pPr>
              <w:rPr>
                <w:rFonts w:cs="Arial"/>
                <w:sz w:val="20"/>
                <w:szCs w:val="22"/>
              </w:rPr>
            </w:pPr>
          </w:p>
        </w:tc>
        <w:tc>
          <w:tcPr>
            <w:tcW w:w="401"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02"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39" w:type="pct"/>
            <w:tcBorders>
              <w:top w:val="nil"/>
              <w:left w:val="nil"/>
              <w:bottom w:val="nil"/>
              <w:right w:val="nil"/>
            </w:tcBorders>
          </w:tcPr>
          <w:p w:rsidR="00164794" w:rsidRDefault="00164794" w:rsidP="009F65B3">
            <w:pPr>
              <w:rPr>
                <w:rFonts w:cs="Arial"/>
                <w:sz w:val="20"/>
                <w:szCs w:val="22"/>
              </w:rPr>
            </w:pPr>
          </w:p>
        </w:tc>
        <w:tc>
          <w:tcPr>
            <w:tcW w:w="510" w:type="pct"/>
            <w:tcBorders>
              <w:top w:val="nil"/>
              <w:left w:val="nil"/>
              <w:bottom w:val="nil"/>
              <w:right w:val="nil"/>
            </w:tcBorders>
          </w:tcPr>
          <w:p w:rsidR="00164794" w:rsidRDefault="00164794" w:rsidP="009F65B3">
            <w:pPr>
              <w:rPr>
                <w:rFonts w:cs="Arial"/>
                <w:sz w:val="20"/>
                <w:szCs w:val="22"/>
              </w:rPr>
            </w:pPr>
          </w:p>
        </w:tc>
        <w:tc>
          <w:tcPr>
            <w:tcW w:w="510" w:type="pct"/>
            <w:tcBorders>
              <w:top w:val="nil"/>
              <w:left w:val="nil"/>
              <w:bottom w:val="nil"/>
              <w:right w:val="nil"/>
            </w:tcBorders>
          </w:tcPr>
          <w:p w:rsidR="00164794" w:rsidRDefault="00164794" w:rsidP="009F65B3">
            <w:pPr>
              <w:rPr>
                <w:rFonts w:cs="Arial"/>
                <w:sz w:val="20"/>
                <w:szCs w:val="22"/>
              </w:rPr>
            </w:pP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1.86</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1.86</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1.76</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1.86</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1.89</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2.22</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0.978</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0.735</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0.060</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MI2-5</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2.12</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2.36</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2.13</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2.63</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2.56</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rPr>
              <w:t>0.018</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0.222</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0.018</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PPI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2.68</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2.71</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2.75</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0.898</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0.984</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0.610</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proofErr w:type="spellStart"/>
            <w:r>
              <w:rPr>
                <w:rFonts w:cs="Arial"/>
                <w:sz w:val="20"/>
                <w:szCs w:val="22"/>
              </w:rPr>
              <w:t>SigMI</w:t>
            </w:r>
            <w:proofErr w:type="spellEnd"/>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2.32</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2.19</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2.33</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2.19</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2.36</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2.46</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0.172</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0.159</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0.153</w:t>
            </w:r>
          </w:p>
        </w:tc>
      </w:tr>
      <w:tr w:rsidR="00164794" w:rsidTr="009F65B3">
        <w:trPr>
          <w:trHeight w:val="232"/>
        </w:trPr>
        <w:tc>
          <w:tcPr>
            <w:tcW w:w="581" w:type="pct"/>
            <w:tcBorders>
              <w:top w:val="nil"/>
              <w:left w:val="nil"/>
              <w:bottom w:val="nil"/>
              <w:right w:val="nil"/>
            </w:tcBorders>
            <w:hideMark/>
          </w:tcPr>
          <w:p w:rsidR="00164794" w:rsidRDefault="00164794" w:rsidP="009F65B3">
            <w:pPr>
              <w:rPr>
                <w:rFonts w:cs="Arial"/>
                <w:sz w:val="20"/>
                <w:szCs w:val="22"/>
              </w:rPr>
            </w:pPr>
            <w:r>
              <w:rPr>
                <w:rFonts w:cs="Arial"/>
                <w:sz w:val="20"/>
                <w:szCs w:val="22"/>
              </w:rPr>
              <w:t>RTF</w:t>
            </w:r>
          </w:p>
        </w:tc>
        <w:tc>
          <w:tcPr>
            <w:tcW w:w="463" w:type="pct"/>
            <w:tcBorders>
              <w:top w:val="nil"/>
              <w:left w:val="nil"/>
              <w:bottom w:val="nil"/>
              <w:right w:val="nil"/>
            </w:tcBorders>
          </w:tcPr>
          <w:p w:rsidR="00164794" w:rsidRDefault="00164794" w:rsidP="009F65B3">
            <w:pPr>
              <w:rPr>
                <w:rFonts w:cs="Arial"/>
                <w:sz w:val="20"/>
                <w:szCs w:val="22"/>
              </w:rPr>
            </w:pPr>
          </w:p>
        </w:tc>
        <w:tc>
          <w:tcPr>
            <w:tcW w:w="400" w:type="pct"/>
            <w:tcBorders>
              <w:top w:val="nil"/>
              <w:left w:val="nil"/>
              <w:bottom w:val="nil"/>
              <w:right w:val="nil"/>
            </w:tcBorders>
          </w:tcPr>
          <w:p w:rsidR="00164794" w:rsidRDefault="00164794" w:rsidP="009F65B3">
            <w:pPr>
              <w:rPr>
                <w:rFonts w:cs="Arial"/>
                <w:sz w:val="20"/>
                <w:szCs w:val="22"/>
              </w:rPr>
            </w:pPr>
          </w:p>
        </w:tc>
        <w:tc>
          <w:tcPr>
            <w:tcW w:w="431" w:type="pct"/>
            <w:tcBorders>
              <w:top w:val="nil"/>
              <w:left w:val="nil"/>
              <w:bottom w:val="nil"/>
              <w:right w:val="nil"/>
            </w:tcBorders>
          </w:tcPr>
          <w:p w:rsidR="00164794" w:rsidRDefault="00164794" w:rsidP="009F65B3">
            <w:pPr>
              <w:rPr>
                <w:rFonts w:cs="Arial"/>
                <w:sz w:val="20"/>
                <w:szCs w:val="22"/>
              </w:rPr>
            </w:pPr>
          </w:p>
        </w:tc>
        <w:tc>
          <w:tcPr>
            <w:tcW w:w="401"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02"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39" w:type="pct"/>
            <w:tcBorders>
              <w:top w:val="nil"/>
              <w:left w:val="nil"/>
              <w:bottom w:val="nil"/>
              <w:right w:val="nil"/>
            </w:tcBorders>
          </w:tcPr>
          <w:p w:rsidR="00164794" w:rsidRDefault="00164794" w:rsidP="009F65B3">
            <w:pPr>
              <w:rPr>
                <w:rFonts w:cs="Arial"/>
                <w:sz w:val="20"/>
                <w:szCs w:val="22"/>
              </w:rPr>
            </w:pPr>
          </w:p>
        </w:tc>
        <w:tc>
          <w:tcPr>
            <w:tcW w:w="510" w:type="pct"/>
            <w:tcBorders>
              <w:top w:val="nil"/>
              <w:left w:val="nil"/>
              <w:bottom w:val="nil"/>
              <w:right w:val="nil"/>
            </w:tcBorders>
          </w:tcPr>
          <w:p w:rsidR="00164794" w:rsidRDefault="00164794" w:rsidP="009F65B3">
            <w:pPr>
              <w:rPr>
                <w:rFonts w:cs="Arial"/>
                <w:sz w:val="20"/>
                <w:szCs w:val="22"/>
              </w:rPr>
            </w:pPr>
          </w:p>
        </w:tc>
        <w:tc>
          <w:tcPr>
            <w:tcW w:w="510" w:type="pct"/>
            <w:tcBorders>
              <w:top w:val="nil"/>
              <w:left w:val="nil"/>
              <w:bottom w:val="nil"/>
              <w:right w:val="nil"/>
            </w:tcBorders>
          </w:tcPr>
          <w:p w:rsidR="00164794" w:rsidRDefault="00164794" w:rsidP="009F65B3">
            <w:pPr>
              <w:rPr>
                <w:rFonts w:cs="Arial"/>
                <w:sz w:val="20"/>
                <w:szCs w:val="22"/>
              </w:rPr>
            </w:pP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1.71</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1.76</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1.74</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1.74</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2.31</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0.399</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1.000</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rPr>
              <w:t>0.001</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MI2-5</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2.00</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2.49</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2.46</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39"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0.005</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0.002</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0.005</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PPI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2.75</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2.68</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2.86</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2.68</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0.424</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0.222</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0.269</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proofErr w:type="spellStart"/>
            <w:r>
              <w:rPr>
                <w:rFonts w:cs="Arial"/>
                <w:sz w:val="20"/>
                <w:szCs w:val="22"/>
              </w:rPr>
              <w:t>SigMI</w:t>
            </w:r>
            <w:proofErr w:type="spellEnd"/>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2.39</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2.11</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2.43</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2.10</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2.31</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2.45</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0.201</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0.154</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0.045</w:t>
            </w:r>
          </w:p>
        </w:tc>
      </w:tr>
      <w:tr w:rsidR="00164794" w:rsidTr="009F65B3">
        <w:trPr>
          <w:trHeight w:val="232"/>
        </w:trPr>
        <w:tc>
          <w:tcPr>
            <w:tcW w:w="581" w:type="pct"/>
            <w:tcBorders>
              <w:top w:val="nil"/>
              <w:left w:val="nil"/>
              <w:bottom w:val="single" w:sz="4" w:space="0" w:color="auto"/>
              <w:right w:val="nil"/>
            </w:tcBorders>
          </w:tcPr>
          <w:p w:rsidR="00164794" w:rsidRDefault="00164794" w:rsidP="009F65B3">
            <w:pPr>
              <w:rPr>
                <w:rFonts w:cs="Arial"/>
                <w:sz w:val="20"/>
                <w:szCs w:val="22"/>
              </w:rPr>
            </w:pPr>
          </w:p>
        </w:tc>
        <w:tc>
          <w:tcPr>
            <w:tcW w:w="463" w:type="pct"/>
            <w:tcBorders>
              <w:top w:val="nil"/>
              <w:left w:val="nil"/>
              <w:bottom w:val="single" w:sz="4" w:space="0" w:color="auto"/>
              <w:right w:val="nil"/>
            </w:tcBorders>
          </w:tcPr>
          <w:p w:rsidR="00164794" w:rsidRDefault="00164794" w:rsidP="009F65B3">
            <w:pPr>
              <w:rPr>
                <w:rFonts w:cs="Arial"/>
                <w:sz w:val="20"/>
                <w:szCs w:val="22"/>
              </w:rPr>
            </w:pPr>
          </w:p>
        </w:tc>
        <w:tc>
          <w:tcPr>
            <w:tcW w:w="400" w:type="pct"/>
            <w:tcBorders>
              <w:top w:val="nil"/>
              <w:left w:val="nil"/>
              <w:bottom w:val="single" w:sz="4" w:space="0" w:color="auto"/>
              <w:right w:val="nil"/>
            </w:tcBorders>
          </w:tcPr>
          <w:p w:rsidR="00164794" w:rsidRDefault="00164794" w:rsidP="009F65B3">
            <w:pPr>
              <w:rPr>
                <w:rFonts w:cs="Arial"/>
                <w:sz w:val="20"/>
                <w:szCs w:val="22"/>
              </w:rPr>
            </w:pPr>
          </w:p>
        </w:tc>
        <w:tc>
          <w:tcPr>
            <w:tcW w:w="431" w:type="pct"/>
            <w:tcBorders>
              <w:top w:val="nil"/>
              <w:left w:val="nil"/>
              <w:bottom w:val="single" w:sz="4" w:space="0" w:color="auto"/>
              <w:right w:val="nil"/>
            </w:tcBorders>
          </w:tcPr>
          <w:p w:rsidR="00164794" w:rsidRDefault="00164794" w:rsidP="009F65B3">
            <w:pPr>
              <w:rPr>
                <w:rFonts w:cs="Arial"/>
                <w:sz w:val="20"/>
                <w:szCs w:val="22"/>
              </w:rPr>
            </w:pPr>
          </w:p>
        </w:tc>
        <w:tc>
          <w:tcPr>
            <w:tcW w:w="401" w:type="pct"/>
            <w:tcBorders>
              <w:top w:val="nil"/>
              <w:left w:val="nil"/>
              <w:bottom w:val="single" w:sz="4" w:space="0" w:color="auto"/>
              <w:right w:val="nil"/>
            </w:tcBorders>
          </w:tcPr>
          <w:p w:rsidR="00164794" w:rsidRDefault="00164794" w:rsidP="009F65B3">
            <w:pPr>
              <w:rPr>
                <w:rFonts w:cs="Arial"/>
                <w:sz w:val="20"/>
                <w:szCs w:val="22"/>
              </w:rPr>
            </w:pPr>
          </w:p>
        </w:tc>
        <w:tc>
          <w:tcPr>
            <w:tcW w:w="432" w:type="pct"/>
            <w:tcBorders>
              <w:top w:val="nil"/>
              <w:left w:val="nil"/>
              <w:bottom w:val="single" w:sz="4" w:space="0" w:color="auto"/>
              <w:right w:val="nil"/>
            </w:tcBorders>
          </w:tcPr>
          <w:p w:rsidR="00164794" w:rsidRDefault="00164794" w:rsidP="009F65B3">
            <w:pPr>
              <w:rPr>
                <w:rFonts w:cs="Arial"/>
                <w:sz w:val="20"/>
                <w:szCs w:val="22"/>
              </w:rPr>
            </w:pPr>
          </w:p>
        </w:tc>
        <w:tc>
          <w:tcPr>
            <w:tcW w:w="402" w:type="pct"/>
            <w:tcBorders>
              <w:top w:val="nil"/>
              <w:left w:val="nil"/>
              <w:bottom w:val="single" w:sz="4" w:space="0" w:color="auto"/>
              <w:right w:val="nil"/>
            </w:tcBorders>
          </w:tcPr>
          <w:p w:rsidR="00164794" w:rsidRDefault="00164794" w:rsidP="009F65B3">
            <w:pPr>
              <w:rPr>
                <w:rFonts w:cs="Arial"/>
                <w:sz w:val="20"/>
                <w:szCs w:val="22"/>
              </w:rPr>
            </w:pPr>
          </w:p>
        </w:tc>
        <w:tc>
          <w:tcPr>
            <w:tcW w:w="432" w:type="pct"/>
            <w:tcBorders>
              <w:top w:val="nil"/>
              <w:left w:val="nil"/>
              <w:bottom w:val="single" w:sz="4" w:space="0" w:color="auto"/>
              <w:right w:val="nil"/>
            </w:tcBorders>
          </w:tcPr>
          <w:p w:rsidR="00164794" w:rsidRDefault="00164794" w:rsidP="009F65B3">
            <w:pPr>
              <w:rPr>
                <w:rFonts w:cs="Arial"/>
                <w:sz w:val="20"/>
                <w:szCs w:val="22"/>
              </w:rPr>
            </w:pPr>
          </w:p>
        </w:tc>
        <w:tc>
          <w:tcPr>
            <w:tcW w:w="439" w:type="pct"/>
            <w:tcBorders>
              <w:top w:val="nil"/>
              <w:left w:val="nil"/>
              <w:bottom w:val="single" w:sz="4" w:space="0" w:color="auto"/>
              <w:right w:val="nil"/>
            </w:tcBorders>
          </w:tcPr>
          <w:p w:rsidR="00164794" w:rsidRDefault="00164794" w:rsidP="009F65B3">
            <w:pPr>
              <w:rPr>
                <w:rFonts w:cs="Arial"/>
                <w:sz w:val="20"/>
                <w:szCs w:val="22"/>
              </w:rPr>
            </w:pPr>
          </w:p>
        </w:tc>
        <w:tc>
          <w:tcPr>
            <w:tcW w:w="510" w:type="pct"/>
            <w:tcBorders>
              <w:top w:val="nil"/>
              <w:left w:val="nil"/>
              <w:bottom w:val="single" w:sz="4" w:space="0" w:color="auto"/>
              <w:right w:val="nil"/>
            </w:tcBorders>
          </w:tcPr>
          <w:p w:rsidR="00164794" w:rsidRDefault="00164794" w:rsidP="009F65B3">
            <w:pPr>
              <w:rPr>
                <w:rFonts w:cs="Arial"/>
                <w:sz w:val="20"/>
                <w:szCs w:val="22"/>
              </w:rPr>
            </w:pPr>
          </w:p>
        </w:tc>
        <w:tc>
          <w:tcPr>
            <w:tcW w:w="510" w:type="pct"/>
            <w:tcBorders>
              <w:top w:val="nil"/>
              <w:left w:val="nil"/>
              <w:bottom w:val="single" w:sz="4" w:space="0" w:color="auto"/>
              <w:right w:val="nil"/>
            </w:tcBorders>
          </w:tcPr>
          <w:p w:rsidR="00164794" w:rsidRDefault="00164794" w:rsidP="009F65B3">
            <w:pPr>
              <w:rPr>
                <w:rFonts w:cs="Arial"/>
                <w:sz w:val="20"/>
                <w:szCs w:val="22"/>
              </w:rPr>
            </w:pPr>
          </w:p>
        </w:tc>
      </w:tr>
      <w:tr w:rsidR="00164794" w:rsidTr="009F65B3">
        <w:trPr>
          <w:trHeight w:val="232"/>
        </w:trPr>
        <w:tc>
          <w:tcPr>
            <w:tcW w:w="581" w:type="pct"/>
            <w:tcBorders>
              <w:top w:val="single" w:sz="4" w:space="0" w:color="auto"/>
              <w:left w:val="nil"/>
              <w:bottom w:val="nil"/>
              <w:right w:val="nil"/>
            </w:tcBorders>
            <w:hideMark/>
          </w:tcPr>
          <w:p w:rsidR="00164794" w:rsidRDefault="00164794" w:rsidP="009F65B3">
            <w:pPr>
              <w:rPr>
                <w:rFonts w:cs="Arial"/>
                <w:sz w:val="20"/>
                <w:szCs w:val="22"/>
              </w:rPr>
            </w:pPr>
            <w:r>
              <w:rPr>
                <w:rFonts w:cs="Arial"/>
                <w:sz w:val="20"/>
                <w:szCs w:val="22"/>
              </w:rPr>
              <w:t>Tillage</w:t>
            </w:r>
          </w:p>
        </w:tc>
        <w:tc>
          <w:tcPr>
            <w:tcW w:w="463" w:type="pct"/>
            <w:tcBorders>
              <w:top w:val="single" w:sz="4" w:space="0" w:color="auto"/>
              <w:left w:val="nil"/>
              <w:bottom w:val="nil"/>
              <w:right w:val="nil"/>
            </w:tcBorders>
          </w:tcPr>
          <w:p w:rsidR="00164794" w:rsidRDefault="00164794" w:rsidP="009F65B3">
            <w:pPr>
              <w:rPr>
                <w:rFonts w:cs="Arial"/>
                <w:sz w:val="20"/>
                <w:szCs w:val="22"/>
              </w:rPr>
            </w:pPr>
          </w:p>
        </w:tc>
        <w:tc>
          <w:tcPr>
            <w:tcW w:w="400" w:type="pct"/>
            <w:tcBorders>
              <w:top w:val="single" w:sz="4" w:space="0" w:color="auto"/>
              <w:left w:val="nil"/>
              <w:bottom w:val="nil"/>
              <w:right w:val="nil"/>
            </w:tcBorders>
          </w:tcPr>
          <w:p w:rsidR="00164794" w:rsidRDefault="00164794" w:rsidP="009F65B3">
            <w:pPr>
              <w:rPr>
                <w:rFonts w:cs="Arial"/>
                <w:sz w:val="20"/>
                <w:szCs w:val="22"/>
              </w:rPr>
            </w:pPr>
          </w:p>
        </w:tc>
        <w:tc>
          <w:tcPr>
            <w:tcW w:w="431" w:type="pct"/>
            <w:tcBorders>
              <w:top w:val="single" w:sz="4" w:space="0" w:color="auto"/>
              <w:left w:val="nil"/>
              <w:bottom w:val="nil"/>
              <w:right w:val="nil"/>
            </w:tcBorders>
          </w:tcPr>
          <w:p w:rsidR="00164794" w:rsidRDefault="00164794" w:rsidP="009F65B3">
            <w:pPr>
              <w:rPr>
                <w:rFonts w:cs="Arial"/>
                <w:sz w:val="20"/>
                <w:szCs w:val="22"/>
              </w:rPr>
            </w:pPr>
          </w:p>
        </w:tc>
        <w:tc>
          <w:tcPr>
            <w:tcW w:w="401" w:type="pct"/>
            <w:tcBorders>
              <w:top w:val="single" w:sz="4" w:space="0" w:color="auto"/>
              <w:left w:val="nil"/>
              <w:bottom w:val="nil"/>
              <w:right w:val="nil"/>
            </w:tcBorders>
          </w:tcPr>
          <w:p w:rsidR="00164794" w:rsidRDefault="00164794" w:rsidP="009F65B3">
            <w:pPr>
              <w:rPr>
                <w:rFonts w:cs="Arial"/>
                <w:sz w:val="20"/>
                <w:szCs w:val="22"/>
              </w:rPr>
            </w:pPr>
          </w:p>
        </w:tc>
        <w:tc>
          <w:tcPr>
            <w:tcW w:w="432" w:type="pct"/>
            <w:tcBorders>
              <w:top w:val="single" w:sz="4" w:space="0" w:color="auto"/>
              <w:left w:val="nil"/>
              <w:bottom w:val="nil"/>
              <w:right w:val="nil"/>
            </w:tcBorders>
          </w:tcPr>
          <w:p w:rsidR="00164794" w:rsidRDefault="00164794" w:rsidP="009F65B3">
            <w:pPr>
              <w:rPr>
                <w:rFonts w:cs="Arial"/>
                <w:sz w:val="20"/>
                <w:szCs w:val="22"/>
              </w:rPr>
            </w:pPr>
          </w:p>
        </w:tc>
        <w:tc>
          <w:tcPr>
            <w:tcW w:w="402" w:type="pct"/>
            <w:tcBorders>
              <w:top w:val="single" w:sz="4" w:space="0" w:color="auto"/>
              <w:left w:val="nil"/>
              <w:bottom w:val="nil"/>
              <w:right w:val="nil"/>
            </w:tcBorders>
          </w:tcPr>
          <w:p w:rsidR="00164794" w:rsidRDefault="00164794" w:rsidP="009F65B3">
            <w:pPr>
              <w:rPr>
                <w:rFonts w:cs="Arial"/>
                <w:sz w:val="20"/>
                <w:szCs w:val="22"/>
              </w:rPr>
            </w:pPr>
          </w:p>
        </w:tc>
        <w:tc>
          <w:tcPr>
            <w:tcW w:w="432" w:type="pct"/>
            <w:tcBorders>
              <w:top w:val="single" w:sz="4" w:space="0" w:color="auto"/>
              <w:left w:val="nil"/>
              <w:bottom w:val="nil"/>
              <w:right w:val="nil"/>
            </w:tcBorders>
          </w:tcPr>
          <w:p w:rsidR="00164794" w:rsidRDefault="00164794" w:rsidP="009F65B3">
            <w:pPr>
              <w:rPr>
                <w:rFonts w:cs="Arial"/>
                <w:sz w:val="20"/>
                <w:szCs w:val="22"/>
              </w:rPr>
            </w:pPr>
          </w:p>
        </w:tc>
        <w:tc>
          <w:tcPr>
            <w:tcW w:w="439" w:type="pct"/>
            <w:tcBorders>
              <w:top w:val="single" w:sz="4" w:space="0" w:color="auto"/>
              <w:left w:val="nil"/>
              <w:bottom w:val="nil"/>
              <w:right w:val="nil"/>
            </w:tcBorders>
          </w:tcPr>
          <w:p w:rsidR="00164794" w:rsidRDefault="00164794" w:rsidP="009F65B3">
            <w:pPr>
              <w:rPr>
                <w:rFonts w:cs="Arial"/>
                <w:sz w:val="20"/>
                <w:szCs w:val="22"/>
              </w:rPr>
            </w:pPr>
          </w:p>
        </w:tc>
        <w:tc>
          <w:tcPr>
            <w:tcW w:w="510" w:type="pct"/>
            <w:tcBorders>
              <w:top w:val="single" w:sz="4" w:space="0" w:color="auto"/>
              <w:left w:val="nil"/>
              <w:bottom w:val="nil"/>
              <w:right w:val="nil"/>
            </w:tcBorders>
          </w:tcPr>
          <w:p w:rsidR="00164794" w:rsidRDefault="00164794" w:rsidP="009F65B3">
            <w:pPr>
              <w:rPr>
                <w:rFonts w:cs="Arial"/>
                <w:sz w:val="20"/>
                <w:szCs w:val="22"/>
              </w:rPr>
            </w:pPr>
          </w:p>
        </w:tc>
        <w:tc>
          <w:tcPr>
            <w:tcW w:w="510" w:type="pct"/>
            <w:tcBorders>
              <w:top w:val="single" w:sz="4" w:space="0" w:color="auto"/>
              <w:left w:val="nil"/>
              <w:bottom w:val="nil"/>
              <w:right w:val="nil"/>
            </w:tcBorders>
          </w:tcPr>
          <w:p w:rsidR="00164794" w:rsidRDefault="00164794" w:rsidP="009F65B3">
            <w:pPr>
              <w:rPr>
                <w:rFonts w:cs="Arial"/>
                <w:sz w:val="20"/>
                <w:szCs w:val="22"/>
              </w:rPr>
            </w:pPr>
          </w:p>
        </w:tc>
      </w:tr>
      <w:tr w:rsidR="00164794" w:rsidTr="009F65B3">
        <w:trPr>
          <w:trHeight w:val="232"/>
        </w:trPr>
        <w:tc>
          <w:tcPr>
            <w:tcW w:w="581" w:type="pct"/>
            <w:tcBorders>
              <w:top w:val="nil"/>
              <w:left w:val="nil"/>
              <w:bottom w:val="nil"/>
              <w:right w:val="nil"/>
            </w:tcBorders>
            <w:hideMark/>
          </w:tcPr>
          <w:p w:rsidR="00164794" w:rsidRDefault="00164794" w:rsidP="009F65B3">
            <w:pPr>
              <w:rPr>
                <w:rFonts w:cs="Arial"/>
                <w:sz w:val="20"/>
                <w:szCs w:val="22"/>
              </w:rPr>
            </w:pPr>
            <w:r>
              <w:rPr>
                <w:rFonts w:cs="Arial"/>
                <w:sz w:val="20"/>
                <w:szCs w:val="22"/>
              </w:rPr>
              <w:t>Deep</w:t>
            </w:r>
          </w:p>
        </w:tc>
        <w:tc>
          <w:tcPr>
            <w:tcW w:w="463" w:type="pct"/>
            <w:tcBorders>
              <w:top w:val="nil"/>
              <w:left w:val="nil"/>
              <w:bottom w:val="nil"/>
              <w:right w:val="nil"/>
            </w:tcBorders>
          </w:tcPr>
          <w:p w:rsidR="00164794" w:rsidRDefault="00164794" w:rsidP="009F65B3">
            <w:pPr>
              <w:rPr>
                <w:rFonts w:cs="Arial"/>
                <w:sz w:val="20"/>
                <w:szCs w:val="22"/>
              </w:rPr>
            </w:pPr>
          </w:p>
        </w:tc>
        <w:tc>
          <w:tcPr>
            <w:tcW w:w="400" w:type="pct"/>
            <w:tcBorders>
              <w:top w:val="nil"/>
              <w:left w:val="nil"/>
              <w:bottom w:val="nil"/>
              <w:right w:val="nil"/>
            </w:tcBorders>
          </w:tcPr>
          <w:p w:rsidR="00164794" w:rsidRDefault="00164794" w:rsidP="009F65B3">
            <w:pPr>
              <w:rPr>
                <w:rFonts w:cs="Arial"/>
                <w:sz w:val="20"/>
                <w:szCs w:val="22"/>
              </w:rPr>
            </w:pPr>
          </w:p>
        </w:tc>
        <w:tc>
          <w:tcPr>
            <w:tcW w:w="431" w:type="pct"/>
            <w:tcBorders>
              <w:top w:val="nil"/>
              <w:left w:val="nil"/>
              <w:bottom w:val="nil"/>
              <w:right w:val="nil"/>
            </w:tcBorders>
          </w:tcPr>
          <w:p w:rsidR="00164794" w:rsidRDefault="00164794" w:rsidP="009F65B3">
            <w:pPr>
              <w:rPr>
                <w:rFonts w:cs="Arial"/>
                <w:sz w:val="20"/>
                <w:szCs w:val="22"/>
              </w:rPr>
            </w:pPr>
          </w:p>
        </w:tc>
        <w:tc>
          <w:tcPr>
            <w:tcW w:w="401"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02"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39" w:type="pct"/>
            <w:tcBorders>
              <w:top w:val="nil"/>
              <w:left w:val="nil"/>
              <w:bottom w:val="nil"/>
              <w:right w:val="nil"/>
            </w:tcBorders>
          </w:tcPr>
          <w:p w:rsidR="00164794" w:rsidRDefault="00164794" w:rsidP="009F65B3">
            <w:pPr>
              <w:rPr>
                <w:rFonts w:cs="Arial"/>
                <w:sz w:val="20"/>
                <w:szCs w:val="22"/>
              </w:rPr>
            </w:pPr>
          </w:p>
        </w:tc>
        <w:tc>
          <w:tcPr>
            <w:tcW w:w="510" w:type="pct"/>
            <w:tcBorders>
              <w:top w:val="nil"/>
              <w:left w:val="nil"/>
              <w:bottom w:val="nil"/>
              <w:right w:val="nil"/>
            </w:tcBorders>
          </w:tcPr>
          <w:p w:rsidR="00164794" w:rsidRDefault="00164794" w:rsidP="009F65B3">
            <w:pPr>
              <w:rPr>
                <w:rFonts w:cs="Arial"/>
                <w:sz w:val="20"/>
                <w:szCs w:val="22"/>
              </w:rPr>
            </w:pPr>
          </w:p>
        </w:tc>
        <w:tc>
          <w:tcPr>
            <w:tcW w:w="510" w:type="pct"/>
            <w:tcBorders>
              <w:top w:val="nil"/>
              <w:left w:val="nil"/>
              <w:bottom w:val="nil"/>
              <w:right w:val="nil"/>
            </w:tcBorders>
          </w:tcPr>
          <w:p w:rsidR="00164794" w:rsidRDefault="00164794" w:rsidP="009F65B3">
            <w:pPr>
              <w:rPr>
                <w:rFonts w:cs="Arial"/>
                <w:sz w:val="20"/>
                <w:szCs w:val="22"/>
              </w:rPr>
            </w:pP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1.83</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1.92</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1.90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1.95</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2.32</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0.617</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0.827</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0.003</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MI2-5</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2.07</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2.51</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2.13</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2.50</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2.04</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2.65</w:t>
            </w:r>
          </w:p>
        </w:tc>
        <w:tc>
          <w:tcPr>
            <w:tcW w:w="439"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0.008</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0.093</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0.001</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PPI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2.73</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2.65</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2.76</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0.700</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0.701</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0.631</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proofErr w:type="spellStart"/>
            <w:r>
              <w:rPr>
                <w:rFonts w:cs="Arial"/>
                <w:sz w:val="20"/>
                <w:szCs w:val="22"/>
              </w:rPr>
              <w:t>SigMI</w:t>
            </w:r>
            <w:proofErr w:type="spellEnd"/>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2.42</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2.14</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2.50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2.15</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2.48</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0.184</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0.159</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0.049</w:t>
            </w:r>
          </w:p>
        </w:tc>
      </w:tr>
      <w:tr w:rsidR="00164794" w:rsidTr="009F65B3">
        <w:trPr>
          <w:trHeight w:val="232"/>
        </w:trPr>
        <w:tc>
          <w:tcPr>
            <w:tcW w:w="581" w:type="pct"/>
            <w:tcBorders>
              <w:top w:val="nil"/>
              <w:left w:val="nil"/>
              <w:bottom w:val="nil"/>
              <w:right w:val="nil"/>
            </w:tcBorders>
            <w:hideMark/>
          </w:tcPr>
          <w:p w:rsidR="00164794" w:rsidRDefault="00164794" w:rsidP="009F65B3">
            <w:pPr>
              <w:rPr>
                <w:rFonts w:cs="Arial"/>
                <w:sz w:val="20"/>
                <w:szCs w:val="22"/>
              </w:rPr>
            </w:pPr>
            <w:r>
              <w:rPr>
                <w:rFonts w:cs="Arial"/>
                <w:sz w:val="20"/>
                <w:szCs w:val="22"/>
              </w:rPr>
              <w:t>Shallow</w:t>
            </w:r>
          </w:p>
        </w:tc>
        <w:tc>
          <w:tcPr>
            <w:tcW w:w="463" w:type="pct"/>
            <w:tcBorders>
              <w:top w:val="nil"/>
              <w:left w:val="nil"/>
              <w:bottom w:val="nil"/>
              <w:right w:val="nil"/>
            </w:tcBorders>
          </w:tcPr>
          <w:p w:rsidR="00164794" w:rsidRDefault="00164794" w:rsidP="009F65B3">
            <w:pPr>
              <w:rPr>
                <w:rFonts w:cs="Arial"/>
                <w:sz w:val="20"/>
                <w:szCs w:val="22"/>
              </w:rPr>
            </w:pPr>
          </w:p>
        </w:tc>
        <w:tc>
          <w:tcPr>
            <w:tcW w:w="400" w:type="pct"/>
            <w:tcBorders>
              <w:top w:val="nil"/>
              <w:left w:val="nil"/>
              <w:bottom w:val="nil"/>
              <w:right w:val="nil"/>
            </w:tcBorders>
          </w:tcPr>
          <w:p w:rsidR="00164794" w:rsidRDefault="00164794" w:rsidP="009F65B3">
            <w:pPr>
              <w:rPr>
                <w:rFonts w:cs="Arial"/>
                <w:sz w:val="20"/>
                <w:szCs w:val="22"/>
              </w:rPr>
            </w:pPr>
          </w:p>
        </w:tc>
        <w:tc>
          <w:tcPr>
            <w:tcW w:w="431" w:type="pct"/>
            <w:tcBorders>
              <w:top w:val="nil"/>
              <w:left w:val="nil"/>
              <w:bottom w:val="nil"/>
              <w:right w:val="nil"/>
            </w:tcBorders>
          </w:tcPr>
          <w:p w:rsidR="00164794" w:rsidRDefault="00164794" w:rsidP="009F65B3">
            <w:pPr>
              <w:rPr>
                <w:rFonts w:cs="Arial"/>
                <w:sz w:val="20"/>
                <w:szCs w:val="22"/>
              </w:rPr>
            </w:pPr>
          </w:p>
        </w:tc>
        <w:tc>
          <w:tcPr>
            <w:tcW w:w="401"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02"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39" w:type="pct"/>
            <w:tcBorders>
              <w:top w:val="nil"/>
              <w:left w:val="nil"/>
              <w:bottom w:val="nil"/>
              <w:right w:val="nil"/>
            </w:tcBorders>
          </w:tcPr>
          <w:p w:rsidR="00164794" w:rsidRDefault="00164794" w:rsidP="009F65B3">
            <w:pPr>
              <w:rPr>
                <w:rFonts w:cs="Arial"/>
                <w:sz w:val="20"/>
                <w:szCs w:val="22"/>
                <w:highlight w:val="lightGray"/>
              </w:rPr>
            </w:pPr>
          </w:p>
        </w:tc>
        <w:tc>
          <w:tcPr>
            <w:tcW w:w="510" w:type="pct"/>
            <w:tcBorders>
              <w:top w:val="nil"/>
              <w:left w:val="nil"/>
              <w:bottom w:val="nil"/>
              <w:right w:val="nil"/>
            </w:tcBorders>
          </w:tcPr>
          <w:p w:rsidR="00164794" w:rsidRDefault="00164794" w:rsidP="009F65B3">
            <w:pPr>
              <w:rPr>
                <w:rFonts w:cs="Arial"/>
                <w:sz w:val="20"/>
                <w:szCs w:val="22"/>
                <w:highlight w:val="lightGray"/>
              </w:rPr>
            </w:pPr>
          </w:p>
        </w:tc>
        <w:tc>
          <w:tcPr>
            <w:tcW w:w="510" w:type="pct"/>
            <w:tcBorders>
              <w:top w:val="nil"/>
              <w:left w:val="nil"/>
              <w:bottom w:val="nil"/>
              <w:right w:val="nil"/>
            </w:tcBorders>
          </w:tcPr>
          <w:p w:rsidR="00164794" w:rsidRDefault="00164794" w:rsidP="009F65B3">
            <w:pPr>
              <w:rPr>
                <w:rFonts w:cs="Arial"/>
                <w:sz w:val="20"/>
                <w:szCs w:val="22"/>
                <w:highlight w:val="lightGray"/>
              </w:rPr>
            </w:pP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1.77</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1.89</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1.89</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2.37</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0.148</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0.303</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0.004</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MI2-5</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2.07</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2.48</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2.48</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2.08</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2.66</w:t>
            </w:r>
          </w:p>
        </w:tc>
        <w:tc>
          <w:tcPr>
            <w:tcW w:w="439"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0.021</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0.022</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0.002</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PPI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2.78</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2.62</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2.82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2.62</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2.73</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0.133</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0.317</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0.825</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proofErr w:type="spellStart"/>
            <w:r>
              <w:rPr>
                <w:rFonts w:cs="Arial"/>
                <w:sz w:val="20"/>
                <w:szCs w:val="22"/>
              </w:rPr>
              <w:t>SigMI</w:t>
            </w:r>
            <w:proofErr w:type="spellEnd"/>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2.31</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2.12</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2.32</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2.12</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2.34</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2.51</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0.107</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0.242</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0.048</w:t>
            </w:r>
          </w:p>
        </w:tc>
      </w:tr>
      <w:tr w:rsidR="00164794" w:rsidTr="009F65B3">
        <w:trPr>
          <w:trHeight w:val="232"/>
        </w:trPr>
        <w:tc>
          <w:tcPr>
            <w:tcW w:w="581" w:type="pct"/>
            <w:tcBorders>
              <w:top w:val="nil"/>
              <w:left w:val="nil"/>
              <w:bottom w:val="nil"/>
              <w:right w:val="nil"/>
            </w:tcBorders>
            <w:hideMark/>
          </w:tcPr>
          <w:p w:rsidR="00164794" w:rsidRDefault="00164794" w:rsidP="009F65B3">
            <w:pPr>
              <w:rPr>
                <w:rFonts w:cs="Arial"/>
                <w:sz w:val="20"/>
                <w:szCs w:val="22"/>
              </w:rPr>
            </w:pPr>
            <w:r>
              <w:rPr>
                <w:rFonts w:cs="Arial"/>
                <w:sz w:val="20"/>
                <w:szCs w:val="22"/>
              </w:rPr>
              <w:t>Zero</w:t>
            </w:r>
          </w:p>
        </w:tc>
        <w:tc>
          <w:tcPr>
            <w:tcW w:w="463" w:type="pct"/>
            <w:tcBorders>
              <w:top w:val="nil"/>
              <w:left w:val="nil"/>
              <w:bottom w:val="nil"/>
              <w:right w:val="nil"/>
            </w:tcBorders>
          </w:tcPr>
          <w:p w:rsidR="00164794" w:rsidRDefault="00164794" w:rsidP="009F65B3">
            <w:pPr>
              <w:rPr>
                <w:rFonts w:cs="Arial"/>
                <w:sz w:val="20"/>
                <w:szCs w:val="22"/>
              </w:rPr>
            </w:pPr>
          </w:p>
        </w:tc>
        <w:tc>
          <w:tcPr>
            <w:tcW w:w="400" w:type="pct"/>
            <w:tcBorders>
              <w:top w:val="nil"/>
              <w:left w:val="nil"/>
              <w:bottom w:val="nil"/>
              <w:right w:val="nil"/>
            </w:tcBorders>
          </w:tcPr>
          <w:p w:rsidR="00164794" w:rsidRDefault="00164794" w:rsidP="009F65B3">
            <w:pPr>
              <w:rPr>
                <w:rFonts w:cs="Arial"/>
                <w:sz w:val="20"/>
                <w:szCs w:val="22"/>
              </w:rPr>
            </w:pPr>
          </w:p>
        </w:tc>
        <w:tc>
          <w:tcPr>
            <w:tcW w:w="431" w:type="pct"/>
            <w:tcBorders>
              <w:top w:val="nil"/>
              <w:left w:val="nil"/>
              <w:bottom w:val="nil"/>
              <w:right w:val="nil"/>
            </w:tcBorders>
          </w:tcPr>
          <w:p w:rsidR="00164794" w:rsidRDefault="00164794" w:rsidP="009F65B3">
            <w:pPr>
              <w:rPr>
                <w:rFonts w:cs="Arial"/>
                <w:sz w:val="20"/>
                <w:szCs w:val="22"/>
              </w:rPr>
            </w:pPr>
          </w:p>
        </w:tc>
        <w:tc>
          <w:tcPr>
            <w:tcW w:w="401"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02" w:type="pct"/>
            <w:tcBorders>
              <w:top w:val="nil"/>
              <w:left w:val="nil"/>
              <w:bottom w:val="nil"/>
              <w:right w:val="nil"/>
            </w:tcBorders>
          </w:tcPr>
          <w:p w:rsidR="00164794" w:rsidRDefault="00164794" w:rsidP="009F65B3">
            <w:pPr>
              <w:rPr>
                <w:rFonts w:cs="Arial"/>
                <w:sz w:val="20"/>
                <w:szCs w:val="22"/>
              </w:rPr>
            </w:pPr>
          </w:p>
        </w:tc>
        <w:tc>
          <w:tcPr>
            <w:tcW w:w="432" w:type="pct"/>
            <w:tcBorders>
              <w:top w:val="nil"/>
              <w:left w:val="nil"/>
              <w:bottom w:val="nil"/>
              <w:right w:val="nil"/>
            </w:tcBorders>
          </w:tcPr>
          <w:p w:rsidR="00164794" w:rsidRDefault="00164794" w:rsidP="009F65B3">
            <w:pPr>
              <w:rPr>
                <w:rFonts w:cs="Arial"/>
                <w:sz w:val="20"/>
                <w:szCs w:val="22"/>
              </w:rPr>
            </w:pPr>
          </w:p>
        </w:tc>
        <w:tc>
          <w:tcPr>
            <w:tcW w:w="439" w:type="pct"/>
            <w:tcBorders>
              <w:top w:val="nil"/>
              <w:left w:val="nil"/>
              <w:bottom w:val="nil"/>
              <w:right w:val="nil"/>
            </w:tcBorders>
          </w:tcPr>
          <w:p w:rsidR="00164794" w:rsidRDefault="00164794" w:rsidP="009F65B3">
            <w:pPr>
              <w:rPr>
                <w:rFonts w:cs="Arial"/>
                <w:sz w:val="20"/>
                <w:szCs w:val="22"/>
                <w:highlight w:val="lightGray"/>
              </w:rPr>
            </w:pPr>
          </w:p>
        </w:tc>
        <w:tc>
          <w:tcPr>
            <w:tcW w:w="510" w:type="pct"/>
            <w:tcBorders>
              <w:top w:val="nil"/>
              <w:left w:val="nil"/>
              <w:bottom w:val="nil"/>
              <w:right w:val="nil"/>
            </w:tcBorders>
          </w:tcPr>
          <w:p w:rsidR="00164794" w:rsidRDefault="00164794" w:rsidP="009F65B3">
            <w:pPr>
              <w:rPr>
                <w:rFonts w:cs="Arial"/>
                <w:sz w:val="20"/>
                <w:szCs w:val="22"/>
                <w:highlight w:val="lightGray"/>
              </w:rPr>
            </w:pPr>
          </w:p>
        </w:tc>
        <w:tc>
          <w:tcPr>
            <w:tcW w:w="510" w:type="pct"/>
            <w:tcBorders>
              <w:top w:val="nil"/>
              <w:left w:val="nil"/>
              <w:bottom w:val="nil"/>
              <w:right w:val="nil"/>
            </w:tcBorders>
          </w:tcPr>
          <w:p w:rsidR="00164794" w:rsidRDefault="00164794" w:rsidP="009F65B3">
            <w:pPr>
              <w:rPr>
                <w:rFonts w:cs="Arial"/>
                <w:sz w:val="20"/>
                <w:szCs w:val="22"/>
                <w:highlight w:val="lightGray"/>
              </w:rPr>
            </w:pP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1.72</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1.80</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1.59</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1.79</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1.75</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2.28</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0.253</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0.268</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0.038</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MI2-5</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2.04</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2.47</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2.46</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2.06</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2.64</w:t>
            </w:r>
          </w:p>
        </w:tc>
        <w:tc>
          <w:tcPr>
            <w:tcW w:w="439"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0.038</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0.041</w:t>
            </w:r>
          </w:p>
        </w:tc>
        <w:tc>
          <w:tcPr>
            <w:tcW w:w="510" w:type="pct"/>
            <w:tcBorders>
              <w:top w:val="nil"/>
              <w:left w:val="nil"/>
              <w:bottom w:val="nil"/>
              <w:right w:val="nil"/>
            </w:tcBorders>
            <w:hideMark/>
          </w:tcPr>
          <w:p w:rsidR="00164794" w:rsidRDefault="00164794" w:rsidP="009F65B3">
            <w:pPr>
              <w:rPr>
                <w:rFonts w:cs="Arial"/>
                <w:sz w:val="20"/>
                <w:szCs w:val="22"/>
              </w:rPr>
            </w:pPr>
            <w:r>
              <w:rPr>
                <w:rFonts w:cs="Arial"/>
                <w:sz w:val="20"/>
                <w:szCs w:val="22"/>
              </w:rPr>
              <w:t>0.021</w:t>
            </w:r>
          </w:p>
        </w:tc>
      </w:tr>
      <w:tr w:rsidR="00164794" w:rsidTr="009F65B3">
        <w:trPr>
          <w:trHeight w:val="232"/>
        </w:trPr>
        <w:tc>
          <w:tcPr>
            <w:tcW w:w="581" w:type="pct"/>
            <w:tcBorders>
              <w:top w:val="nil"/>
              <w:left w:val="nil"/>
              <w:bottom w:val="nil"/>
              <w:right w:val="nil"/>
            </w:tcBorders>
          </w:tcPr>
          <w:p w:rsidR="00164794" w:rsidRDefault="00164794" w:rsidP="009F65B3">
            <w:pPr>
              <w:rPr>
                <w:rFonts w:cs="Arial"/>
                <w:sz w:val="20"/>
                <w:szCs w:val="22"/>
              </w:rPr>
            </w:pPr>
          </w:p>
        </w:tc>
        <w:tc>
          <w:tcPr>
            <w:tcW w:w="463" w:type="pct"/>
            <w:tcBorders>
              <w:top w:val="nil"/>
              <w:left w:val="nil"/>
              <w:bottom w:val="nil"/>
              <w:right w:val="nil"/>
            </w:tcBorders>
            <w:hideMark/>
          </w:tcPr>
          <w:p w:rsidR="00164794" w:rsidRDefault="00164794" w:rsidP="009F65B3">
            <w:pPr>
              <w:rPr>
                <w:rFonts w:cs="Arial"/>
                <w:sz w:val="20"/>
                <w:szCs w:val="22"/>
              </w:rPr>
            </w:pPr>
            <w:r>
              <w:rPr>
                <w:rFonts w:cs="Arial"/>
                <w:sz w:val="20"/>
                <w:szCs w:val="22"/>
              </w:rPr>
              <w:t>PPI</w:t>
            </w:r>
          </w:p>
        </w:tc>
        <w:tc>
          <w:tcPr>
            <w:tcW w:w="400"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2.74</w:t>
            </w:r>
          </w:p>
        </w:tc>
        <w:tc>
          <w:tcPr>
            <w:tcW w:w="43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2.70</w:t>
            </w:r>
          </w:p>
        </w:tc>
        <w:tc>
          <w:tcPr>
            <w:tcW w:w="401"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2.73</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2.71</w:t>
            </w:r>
          </w:p>
        </w:tc>
        <w:tc>
          <w:tcPr>
            <w:tcW w:w="40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2.80</w:t>
            </w:r>
          </w:p>
        </w:tc>
        <w:tc>
          <w:tcPr>
            <w:tcW w:w="432" w:type="pct"/>
            <w:tcBorders>
              <w:top w:val="nil"/>
              <w:left w:val="nil"/>
              <w:bottom w:val="nil"/>
              <w:right w:val="nil"/>
            </w:tcBorders>
            <w:hideMark/>
          </w:tcPr>
          <w:p w:rsidR="00164794" w:rsidRDefault="00164794" w:rsidP="009F65B3">
            <w:pPr>
              <w:rPr>
                <w:rFonts w:cs="Arial"/>
                <w:sz w:val="20"/>
                <w:szCs w:val="22"/>
              </w:rPr>
            </w:pPr>
            <w:r>
              <w:rPr>
                <w:rFonts w:cs="Arial"/>
                <w:sz w:val="20"/>
                <w:szCs w:val="22"/>
              </w:rPr>
              <w:t>2.74</w:t>
            </w:r>
          </w:p>
        </w:tc>
        <w:tc>
          <w:tcPr>
            <w:tcW w:w="439"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0.578</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0.841</w:t>
            </w:r>
          </w:p>
        </w:tc>
        <w:tc>
          <w:tcPr>
            <w:tcW w:w="510" w:type="pct"/>
            <w:tcBorders>
              <w:top w:val="nil"/>
              <w:left w:val="nil"/>
              <w:bottom w:val="nil"/>
              <w:right w:val="nil"/>
            </w:tcBorders>
            <w:hideMark/>
          </w:tcPr>
          <w:p w:rsidR="00164794" w:rsidRDefault="00164794" w:rsidP="009F65B3">
            <w:pPr>
              <w:rPr>
                <w:rFonts w:cs="Arial"/>
                <w:sz w:val="20"/>
                <w:szCs w:val="22"/>
                <w:highlight w:val="lightGray"/>
              </w:rPr>
            </w:pPr>
            <w:r>
              <w:rPr>
                <w:rFonts w:cs="Arial"/>
                <w:sz w:val="20"/>
                <w:szCs w:val="22"/>
                <w:highlight w:val="lightGray"/>
              </w:rPr>
              <w:t>0.480</w:t>
            </w:r>
          </w:p>
        </w:tc>
      </w:tr>
      <w:tr w:rsidR="00164794" w:rsidTr="009F65B3">
        <w:trPr>
          <w:trHeight w:val="232"/>
        </w:trPr>
        <w:tc>
          <w:tcPr>
            <w:tcW w:w="581" w:type="pct"/>
            <w:tcBorders>
              <w:top w:val="nil"/>
              <w:left w:val="nil"/>
              <w:bottom w:val="single" w:sz="4" w:space="0" w:color="auto"/>
              <w:right w:val="nil"/>
            </w:tcBorders>
          </w:tcPr>
          <w:p w:rsidR="00164794" w:rsidRDefault="00164794" w:rsidP="009F65B3">
            <w:pPr>
              <w:rPr>
                <w:rFonts w:cs="Arial"/>
                <w:sz w:val="20"/>
                <w:szCs w:val="22"/>
              </w:rPr>
            </w:pPr>
          </w:p>
        </w:tc>
        <w:tc>
          <w:tcPr>
            <w:tcW w:w="463" w:type="pct"/>
            <w:tcBorders>
              <w:top w:val="nil"/>
              <w:left w:val="nil"/>
              <w:bottom w:val="single" w:sz="4" w:space="0" w:color="auto"/>
              <w:right w:val="nil"/>
            </w:tcBorders>
            <w:hideMark/>
          </w:tcPr>
          <w:p w:rsidR="00164794" w:rsidRDefault="00164794" w:rsidP="009F65B3">
            <w:pPr>
              <w:rPr>
                <w:rFonts w:cs="Arial"/>
                <w:sz w:val="20"/>
                <w:szCs w:val="22"/>
              </w:rPr>
            </w:pPr>
            <w:proofErr w:type="spellStart"/>
            <w:r>
              <w:rPr>
                <w:rFonts w:cs="Arial"/>
                <w:sz w:val="20"/>
                <w:szCs w:val="22"/>
              </w:rPr>
              <w:t>SigMI</w:t>
            </w:r>
            <w:proofErr w:type="spellEnd"/>
          </w:p>
        </w:tc>
        <w:tc>
          <w:tcPr>
            <w:tcW w:w="400"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2.39</w:t>
            </w:r>
          </w:p>
        </w:tc>
        <w:tc>
          <w:tcPr>
            <w:tcW w:w="431"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2.25</w:t>
            </w:r>
          </w:p>
        </w:tc>
        <w:tc>
          <w:tcPr>
            <w:tcW w:w="401"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2.43</w:t>
            </w:r>
          </w:p>
        </w:tc>
        <w:tc>
          <w:tcPr>
            <w:tcW w:w="432"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2.27</w:t>
            </w:r>
          </w:p>
        </w:tc>
        <w:tc>
          <w:tcPr>
            <w:tcW w:w="402"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2.32</w:t>
            </w:r>
          </w:p>
        </w:tc>
        <w:tc>
          <w:tcPr>
            <w:tcW w:w="432"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2.48</w:t>
            </w:r>
          </w:p>
        </w:tc>
        <w:tc>
          <w:tcPr>
            <w:tcW w:w="439" w:type="pct"/>
            <w:tcBorders>
              <w:top w:val="nil"/>
              <w:left w:val="nil"/>
              <w:bottom w:val="single" w:sz="4" w:space="0" w:color="auto"/>
              <w:right w:val="nil"/>
            </w:tcBorders>
            <w:hideMark/>
          </w:tcPr>
          <w:p w:rsidR="00164794" w:rsidRDefault="00164794" w:rsidP="009F65B3">
            <w:pPr>
              <w:rPr>
                <w:rFonts w:cs="Arial"/>
                <w:sz w:val="20"/>
                <w:szCs w:val="22"/>
                <w:highlight w:val="lightGray"/>
              </w:rPr>
            </w:pPr>
            <w:r>
              <w:rPr>
                <w:rFonts w:cs="Arial"/>
                <w:sz w:val="20"/>
                <w:szCs w:val="22"/>
                <w:highlight w:val="lightGray"/>
              </w:rPr>
              <w:t>0.290</w:t>
            </w:r>
          </w:p>
        </w:tc>
        <w:tc>
          <w:tcPr>
            <w:tcW w:w="510" w:type="pct"/>
            <w:tcBorders>
              <w:top w:val="nil"/>
              <w:left w:val="nil"/>
              <w:bottom w:val="single" w:sz="4" w:space="0" w:color="auto"/>
              <w:right w:val="nil"/>
            </w:tcBorders>
            <w:hideMark/>
          </w:tcPr>
          <w:p w:rsidR="00164794" w:rsidRDefault="00164794" w:rsidP="009F65B3">
            <w:pPr>
              <w:rPr>
                <w:rFonts w:cs="Arial"/>
                <w:sz w:val="20"/>
                <w:szCs w:val="22"/>
                <w:highlight w:val="lightGray"/>
              </w:rPr>
            </w:pPr>
            <w:r>
              <w:rPr>
                <w:rFonts w:cs="Arial"/>
                <w:sz w:val="20"/>
                <w:szCs w:val="22"/>
                <w:highlight w:val="lightGray"/>
              </w:rPr>
              <w:t>0.230</w:t>
            </w:r>
          </w:p>
        </w:tc>
        <w:tc>
          <w:tcPr>
            <w:tcW w:w="510" w:type="pct"/>
            <w:tcBorders>
              <w:top w:val="nil"/>
              <w:left w:val="nil"/>
              <w:bottom w:val="single" w:sz="4" w:space="0" w:color="auto"/>
              <w:right w:val="nil"/>
            </w:tcBorders>
            <w:hideMark/>
          </w:tcPr>
          <w:p w:rsidR="00164794" w:rsidRDefault="00164794" w:rsidP="009F65B3">
            <w:pPr>
              <w:rPr>
                <w:rFonts w:cs="Arial"/>
                <w:sz w:val="20"/>
                <w:szCs w:val="22"/>
              </w:rPr>
            </w:pPr>
            <w:r>
              <w:rPr>
                <w:rFonts w:cs="Arial"/>
                <w:sz w:val="20"/>
                <w:szCs w:val="22"/>
              </w:rPr>
              <w:t>0.039</w:t>
            </w:r>
          </w:p>
        </w:tc>
      </w:tr>
    </w:tbl>
    <w:p w:rsidR="00164794" w:rsidRDefault="00164794" w:rsidP="00164794">
      <w:pPr>
        <w:jc w:val="both"/>
        <w:rPr>
          <w:rFonts w:cs="Arial"/>
        </w:rPr>
      </w:pPr>
    </w:p>
    <w:p w:rsidR="00164794" w:rsidRDefault="00164794" w:rsidP="00164794">
      <w:pPr>
        <w:jc w:val="both"/>
        <w:rPr>
          <w:rFonts w:cs="Arial"/>
          <w:b/>
        </w:rPr>
      </w:pPr>
    </w:p>
    <w:p w:rsidR="00164794" w:rsidRDefault="00164794" w:rsidP="00164794">
      <w:pPr>
        <w:spacing w:after="120" w:line="360" w:lineRule="auto"/>
        <w:rPr>
          <w:rFonts w:cs="Arial"/>
          <w:sz w:val="22"/>
        </w:rPr>
      </w:pPr>
      <w:r w:rsidRPr="008A6E00">
        <w:rPr>
          <w:rFonts w:cs="Arial"/>
          <w:sz w:val="22"/>
        </w:rPr>
        <w:t>Hypothesis testing to determine the impact of tillage and traffic treatments on the indices using Kruskal-Wallis test revealed some similarities between the two data types. Traffic was the only treatment that had significant effect and it affected only the MI25. This effect was presented as significant in the standard data set (</w:t>
      </w:r>
      <w:r w:rsidRPr="008A6E00">
        <w:rPr>
          <w:rFonts w:cs="Arial"/>
          <w:i/>
          <w:sz w:val="22"/>
        </w:rPr>
        <w:t>p</w:t>
      </w:r>
      <w:r w:rsidRPr="008A6E00">
        <w:rPr>
          <w:rFonts w:cs="Arial"/>
          <w:sz w:val="22"/>
        </w:rPr>
        <w:t xml:space="preserve"> = 0.015) and marginally significant in the metabarcoding data (</w:t>
      </w:r>
      <w:r w:rsidRPr="008A6E00">
        <w:rPr>
          <w:rFonts w:cs="Arial"/>
          <w:i/>
          <w:sz w:val="22"/>
        </w:rPr>
        <w:t>p</w:t>
      </w:r>
      <w:r w:rsidRPr="008A6E00">
        <w:rPr>
          <w:rFonts w:cs="Arial"/>
          <w:sz w:val="22"/>
        </w:rPr>
        <w:t xml:space="preserve"> = 0.083). The other indices showed no response to any of the treatments. </w:t>
      </w:r>
    </w:p>
    <w:p w:rsidR="00164794" w:rsidRPr="002D79B5" w:rsidRDefault="00164794" w:rsidP="00164794">
      <w:pPr>
        <w:spacing w:line="360" w:lineRule="auto"/>
        <w:rPr>
          <w:rFonts w:cs="Arial"/>
          <w:sz w:val="22"/>
        </w:rPr>
      </w:pPr>
    </w:p>
    <w:p w:rsidR="00164794" w:rsidRDefault="00164794" w:rsidP="00164794">
      <w:pPr>
        <w:pStyle w:val="Heading3"/>
        <w:ind w:left="0" w:firstLine="0"/>
      </w:pPr>
      <w:bookmarkStart w:id="20" w:name="_Toc515103952"/>
      <w:r>
        <w:lastRenderedPageBreak/>
        <w:t>Depiction of Disturbance conditions</w:t>
      </w:r>
      <w:bookmarkEnd w:id="20"/>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Using the c-p triangle to visualize a snapshot of level of stress in the soil, the two data types gave different depictions of the nematode communities (</w:t>
      </w:r>
      <w:r w:rsidRPr="0023180E">
        <w:rPr>
          <w:rFonts w:ascii="Arial" w:hAnsi="Arial" w:cs="Arial"/>
          <w:sz w:val="22"/>
        </w:rPr>
        <w:fldChar w:fldCharType="begin"/>
      </w:r>
      <w:r w:rsidRPr="0023180E">
        <w:rPr>
          <w:rFonts w:ascii="Arial" w:hAnsi="Arial" w:cs="Arial"/>
          <w:sz w:val="22"/>
        </w:rPr>
        <w:instrText xml:space="preserve"> REF _Ref510000696 \h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 xml:space="preserve">Figure </w:t>
      </w:r>
      <w:r w:rsidRPr="0023180E">
        <w:rPr>
          <w:rFonts w:ascii="Arial" w:hAnsi="Arial" w:cs="Arial"/>
          <w:noProof/>
          <w:sz w:val="22"/>
        </w:rPr>
        <w:t>1</w:t>
      </w:r>
      <w:r w:rsidRPr="0023180E">
        <w:rPr>
          <w:rFonts w:ascii="Arial" w:hAnsi="Arial" w:cs="Arial"/>
          <w:sz w:val="22"/>
        </w:rPr>
        <w:fldChar w:fldCharType="end"/>
      </w:r>
      <w:r w:rsidRPr="0023180E">
        <w:rPr>
          <w:rFonts w:ascii="Arial" w:hAnsi="Arial" w:cs="Arial"/>
          <w:sz w:val="22"/>
        </w:rPr>
        <w:t xml:space="preserve">). While both data types mostly indicated communities with low stability, this condition was highly exaggerated in the metabarcoding data where only very few communities were situated away from the zero-stability border. This was even worse in the rarefied data which not only showed no stability but also depicted most of the communities as being highly stressed. The use of the binary data for the c-p triangle gave the best representation of the community through metabarcoding if compared with the rarefied or unrarefied standard data but not with the binary-formatted standard data. </w:t>
      </w:r>
    </w:p>
    <w:p w:rsidR="00164794" w:rsidRPr="002D79B5" w:rsidRDefault="00164794" w:rsidP="00164794">
      <w:pPr>
        <w:spacing w:after="120" w:line="360" w:lineRule="auto"/>
        <w:rPr>
          <w:rFonts w:cs="Arial"/>
          <w:sz w:val="22"/>
        </w:rPr>
      </w:pPr>
    </w:p>
    <w:p w:rsidR="00164794" w:rsidRDefault="00164794" w:rsidP="00164794">
      <w:pPr>
        <w:pStyle w:val="Heading3"/>
        <w:ind w:left="0" w:firstLine="0"/>
      </w:pPr>
      <w:bookmarkStart w:id="21" w:name="_Toc515103953"/>
      <w:r>
        <w:t>Beta Diversity</w:t>
      </w:r>
      <w:bookmarkEnd w:id="21"/>
    </w:p>
    <w:p w:rsidR="00164794" w:rsidRPr="0023180E" w:rsidRDefault="00164794" w:rsidP="0023180E">
      <w:pPr>
        <w:spacing w:line="360" w:lineRule="auto"/>
        <w:jc w:val="both"/>
        <w:rPr>
          <w:rFonts w:ascii="Arial" w:hAnsi="Arial" w:cs="Arial"/>
          <w:sz w:val="22"/>
        </w:rPr>
      </w:pPr>
      <w:r w:rsidRPr="0023180E">
        <w:rPr>
          <w:rFonts w:ascii="Arial" w:hAnsi="Arial" w:cs="Arial"/>
          <w:sz w:val="22"/>
        </w:rPr>
        <w:t>Differences between nematode communities as a result of tillage and traffic treatment as well depths of sampling across field compaction gradients were depicted similarly by the NMDS ordinations in both the standard and metabarcoding data types. There was no clear separation of the treatment levels in the NMDS ordinations for both data types (</w:t>
      </w:r>
      <w:r w:rsidRPr="0023180E">
        <w:rPr>
          <w:rFonts w:ascii="Arial" w:hAnsi="Arial" w:cs="Arial"/>
          <w:sz w:val="22"/>
        </w:rPr>
        <w:fldChar w:fldCharType="begin"/>
      </w:r>
      <w:r w:rsidRPr="0023180E">
        <w:rPr>
          <w:rFonts w:ascii="Arial" w:hAnsi="Arial" w:cs="Arial"/>
          <w:sz w:val="22"/>
        </w:rPr>
        <w:instrText xml:space="preserve"> REF _Ref510194062 \h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Figure 7.3</w:t>
      </w:r>
      <w:r w:rsidRPr="0023180E">
        <w:rPr>
          <w:rFonts w:ascii="Arial" w:hAnsi="Arial" w:cs="Arial"/>
          <w:sz w:val="22"/>
        </w:rPr>
        <w:fldChar w:fldCharType="end"/>
      </w:r>
      <w:r w:rsidRPr="0023180E">
        <w:rPr>
          <w:rFonts w:ascii="Arial" w:hAnsi="Arial" w:cs="Arial"/>
          <w:sz w:val="22"/>
        </w:rPr>
        <w:t xml:space="preserve"> A and B). The ordinations involving the different depths, on the other hand, reveal clear separations again in both the standard and metabarcoding data types (</w:t>
      </w:r>
      <w:r w:rsidRPr="0023180E">
        <w:rPr>
          <w:rFonts w:ascii="Arial" w:hAnsi="Arial" w:cs="Arial"/>
          <w:sz w:val="22"/>
        </w:rPr>
        <w:fldChar w:fldCharType="begin"/>
      </w:r>
      <w:r w:rsidRPr="0023180E">
        <w:rPr>
          <w:rFonts w:ascii="Arial" w:hAnsi="Arial" w:cs="Arial"/>
          <w:sz w:val="22"/>
        </w:rPr>
        <w:instrText xml:space="preserve"> REF _Ref510194047 \h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Figure 7.4</w:t>
      </w:r>
      <w:r w:rsidRPr="0023180E">
        <w:rPr>
          <w:rFonts w:ascii="Arial" w:hAnsi="Arial" w:cs="Arial"/>
          <w:sz w:val="22"/>
        </w:rPr>
        <w:fldChar w:fldCharType="end"/>
      </w:r>
      <w:r w:rsidRPr="0023180E">
        <w:rPr>
          <w:rFonts w:ascii="Arial" w:hAnsi="Arial" w:cs="Arial"/>
          <w:sz w:val="22"/>
        </w:rPr>
        <w:t xml:space="preserve"> A and B). The Procrustes tests of correlation between ordinations of the standard and metabarcoding data sets was highly significant (</w:t>
      </w:r>
      <w:r w:rsidRPr="0023180E">
        <w:rPr>
          <w:rFonts w:ascii="Arial" w:hAnsi="Arial" w:cs="Arial"/>
          <w:i/>
          <w:sz w:val="22"/>
        </w:rPr>
        <w:t>r</w:t>
      </w:r>
      <w:r w:rsidRPr="0023180E">
        <w:rPr>
          <w:rFonts w:ascii="Arial" w:hAnsi="Arial" w:cs="Arial"/>
          <w:sz w:val="22"/>
        </w:rPr>
        <w:t xml:space="preserve"> = 0.42, </w:t>
      </w:r>
      <w:r w:rsidRPr="0023180E">
        <w:rPr>
          <w:rFonts w:ascii="Arial" w:hAnsi="Arial" w:cs="Arial"/>
          <w:i/>
          <w:sz w:val="22"/>
        </w:rPr>
        <w:t>P</w:t>
      </w:r>
      <w:r w:rsidRPr="0023180E">
        <w:rPr>
          <w:rFonts w:ascii="Arial" w:hAnsi="Arial" w:cs="Arial"/>
          <w:sz w:val="22"/>
        </w:rPr>
        <w:t xml:space="preserve"> = 0.001). Between their dissimilarity matrices, the Mantel test also showed a highly significant correlation (</w:t>
      </w:r>
      <w:r w:rsidRPr="0023180E">
        <w:rPr>
          <w:rFonts w:ascii="Arial" w:hAnsi="Arial" w:cs="Arial"/>
          <w:i/>
          <w:sz w:val="22"/>
        </w:rPr>
        <w:t>r</w:t>
      </w:r>
      <w:r w:rsidRPr="0023180E">
        <w:rPr>
          <w:rFonts w:ascii="Arial" w:hAnsi="Arial" w:cs="Arial"/>
          <w:sz w:val="22"/>
        </w:rPr>
        <w:t xml:space="preserve"> = 0.18, </w:t>
      </w:r>
      <w:r w:rsidRPr="0023180E">
        <w:rPr>
          <w:rFonts w:ascii="Arial" w:hAnsi="Arial" w:cs="Arial"/>
          <w:i/>
          <w:sz w:val="22"/>
        </w:rPr>
        <w:t>P</w:t>
      </w:r>
      <w:r w:rsidRPr="0023180E">
        <w:rPr>
          <w:rFonts w:ascii="Arial" w:hAnsi="Arial" w:cs="Arial"/>
          <w:sz w:val="22"/>
        </w:rPr>
        <w:t xml:space="preserve"> = 0.001). </w:t>
      </w:r>
    </w:p>
    <w:p w:rsidR="00164794" w:rsidRPr="0023180E" w:rsidRDefault="00164794" w:rsidP="0023180E">
      <w:pPr>
        <w:spacing w:line="360" w:lineRule="auto"/>
        <w:jc w:val="both"/>
        <w:rPr>
          <w:rFonts w:ascii="Arial" w:hAnsi="Arial" w:cs="Arial"/>
          <w:sz w:val="22"/>
        </w:rPr>
      </w:pPr>
      <w:r w:rsidRPr="0023180E">
        <w:rPr>
          <w:rFonts w:ascii="Arial" w:hAnsi="Arial" w:cs="Arial"/>
          <w:sz w:val="22"/>
        </w:rPr>
        <w:t xml:space="preserve">Tests of significance of the treatments using </w:t>
      </w:r>
      <w:proofErr w:type="spellStart"/>
      <w:proofErr w:type="gramStart"/>
      <w:r w:rsidRPr="0023180E">
        <w:rPr>
          <w:rFonts w:ascii="Arial" w:hAnsi="Arial" w:cs="Arial"/>
          <w:i/>
          <w:sz w:val="22"/>
        </w:rPr>
        <w:t>summary</w:t>
      </w:r>
      <w:r w:rsidRPr="0023180E">
        <w:rPr>
          <w:rFonts w:ascii="Arial" w:hAnsi="Arial" w:cs="Arial"/>
          <w:sz w:val="22"/>
        </w:rPr>
        <w:t>.</w:t>
      </w:r>
      <w:r w:rsidRPr="0023180E">
        <w:rPr>
          <w:rFonts w:ascii="Arial" w:hAnsi="Arial" w:cs="Arial"/>
          <w:i/>
          <w:sz w:val="22"/>
        </w:rPr>
        <w:t>manyglm</w:t>
      </w:r>
      <w:proofErr w:type="spellEnd"/>
      <w:proofErr w:type="gramEnd"/>
      <w:r w:rsidRPr="0023180E">
        <w:rPr>
          <w:rFonts w:ascii="Arial" w:hAnsi="Arial" w:cs="Arial"/>
          <w:i/>
          <w:sz w:val="22"/>
        </w:rPr>
        <w:t xml:space="preserve"> </w:t>
      </w:r>
      <w:r w:rsidRPr="0023180E">
        <w:rPr>
          <w:rFonts w:ascii="Arial" w:hAnsi="Arial" w:cs="Arial"/>
          <w:sz w:val="22"/>
        </w:rPr>
        <w:t xml:space="preserve">test showed that in both data types, treatments had no effect on the nematode community. But as was evident from the NMDS ordinations, difference in the community structure across the sampling depths were highly significant in both the standard data and metabarcoding data. </w:t>
      </w:r>
    </w:p>
    <w:p w:rsidR="00164794" w:rsidRDefault="00164794" w:rsidP="00164794">
      <w:pPr>
        <w:jc w:val="both"/>
        <w:rPr>
          <w:rFonts w:cs="Arial"/>
          <w:b/>
        </w:rPr>
      </w:pPr>
    </w:p>
    <w:p w:rsidR="00164794" w:rsidRDefault="00164794" w:rsidP="00164794">
      <w:pPr>
        <w:keepNext/>
        <w:jc w:val="both"/>
        <w:rPr>
          <w:rFonts w:cs="Arial"/>
        </w:rPr>
      </w:pPr>
      <w:r>
        <w:rPr>
          <w:rFonts w:cs="Arial"/>
          <w:noProof/>
          <w:lang w:eastAsia="en-GB"/>
        </w:rPr>
        <w:lastRenderedPageBreak/>
        <w:drawing>
          <wp:inline distT="0" distB="0" distL="0" distR="0" wp14:anchorId="35415D36" wp14:editId="27A1B4D7">
            <wp:extent cx="5734050" cy="6648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6648450"/>
                    </a:xfrm>
                    <a:prstGeom prst="rect">
                      <a:avLst/>
                    </a:prstGeom>
                    <a:noFill/>
                    <a:ln>
                      <a:noFill/>
                    </a:ln>
                  </pic:spPr>
                </pic:pic>
              </a:graphicData>
            </a:graphic>
          </wp:inline>
        </w:drawing>
      </w:r>
    </w:p>
    <w:p w:rsidR="00164794" w:rsidRPr="0022018E" w:rsidRDefault="00164794" w:rsidP="00164794">
      <w:pPr>
        <w:pStyle w:val="Caption"/>
        <w:jc w:val="both"/>
        <w:rPr>
          <w:rFonts w:cs="Arial"/>
          <w:sz w:val="22"/>
        </w:rPr>
      </w:pPr>
      <w:bookmarkStart w:id="22" w:name="_Toc515364019"/>
      <w:r>
        <w:rPr>
          <w:rFonts w:cs="Arial"/>
          <w:sz w:val="22"/>
        </w:rPr>
        <w:t xml:space="preserve">Figure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r>
        <w:rPr>
          <w:rFonts w:cs="Arial"/>
          <w:sz w:val="22"/>
        </w:rPr>
        <w:t>.</w:t>
      </w:r>
      <w:r>
        <w:rPr>
          <w:rFonts w:cs="Arial"/>
          <w:sz w:val="22"/>
        </w:rPr>
        <w:fldChar w:fldCharType="begin"/>
      </w:r>
      <w:r>
        <w:rPr>
          <w:rFonts w:cs="Arial"/>
          <w:sz w:val="22"/>
        </w:rPr>
        <w:instrText xml:space="preserve"> SEQ Figure \* ARABIC \s 1 </w:instrText>
      </w:r>
      <w:r>
        <w:rPr>
          <w:rFonts w:cs="Arial"/>
          <w:sz w:val="22"/>
        </w:rPr>
        <w:fldChar w:fldCharType="separate"/>
      </w:r>
      <w:r>
        <w:rPr>
          <w:rFonts w:cs="Arial"/>
          <w:noProof/>
          <w:sz w:val="22"/>
        </w:rPr>
        <w:t>2</w:t>
      </w:r>
      <w:r>
        <w:rPr>
          <w:rFonts w:cs="Arial"/>
          <w:sz w:val="22"/>
        </w:rPr>
        <w:fldChar w:fldCharType="end"/>
      </w:r>
      <w:r>
        <w:rPr>
          <w:rFonts w:cs="Arial"/>
          <w:sz w:val="22"/>
        </w:rPr>
        <w:t>. Graphical representation of nematode communities using c-p triangles. Each marker represents one of the 108 samples. Samples within the same treatment categories have identical marker shapes. A and B depict the status of the communities based on unrarefied data of the standard and metabarcoding approaches, respectively. C and D depict the status of the communities based on rarefied data of the standard and metabarcoding approaches, respectively. E and F depict the status of the communities based on presence-absence data of the standard and metabarcoding approaches, respectively</w:t>
      </w:r>
      <w:bookmarkEnd w:id="22"/>
    </w:p>
    <w:p w:rsidR="00164794" w:rsidRDefault="00164794" w:rsidP="00164794">
      <w:pPr>
        <w:jc w:val="both"/>
        <w:rPr>
          <w:rFonts w:cs="Arial"/>
        </w:rPr>
      </w:pPr>
      <w:r>
        <w:rPr>
          <w:rFonts w:cs="Arial"/>
          <w:noProof/>
          <w:lang w:eastAsia="en-GB"/>
        </w:rPr>
        <w:lastRenderedPageBreak/>
        <w:drawing>
          <wp:inline distT="0" distB="0" distL="0" distR="0" wp14:anchorId="01A355E1" wp14:editId="72224DEF">
            <wp:extent cx="5429250"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hqprint">
                      <a:extLst>
                        <a:ext uri="{28A0092B-C50C-407E-A947-70E740481C1C}">
                          <a14:useLocalDpi xmlns:a14="http://schemas.microsoft.com/office/drawing/2010/main" val="0"/>
                        </a:ext>
                      </a:extLst>
                    </a:blip>
                    <a:srcRect l="1172" t="13167" r="4044" b="15981"/>
                    <a:stretch>
                      <a:fillRect/>
                    </a:stretch>
                  </pic:blipFill>
                  <pic:spPr bwMode="auto">
                    <a:xfrm>
                      <a:off x="0" y="0"/>
                      <a:ext cx="5429250" cy="3429000"/>
                    </a:xfrm>
                    <a:prstGeom prst="rect">
                      <a:avLst/>
                    </a:prstGeom>
                    <a:noFill/>
                    <a:ln>
                      <a:noFill/>
                    </a:ln>
                  </pic:spPr>
                </pic:pic>
              </a:graphicData>
            </a:graphic>
          </wp:inline>
        </w:drawing>
      </w:r>
    </w:p>
    <w:p w:rsidR="00164794" w:rsidRDefault="00164794" w:rsidP="00164794">
      <w:pPr>
        <w:keepNext/>
        <w:jc w:val="both"/>
        <w:rPr>
          <w:rFonts w:cs="Arial"/>
        </w:rPr>
      </w:pPr>
      <w:r>
        <w:rPr>
          <w:rFonts w:cs="Arial"/>
          <w:noProof/>
        </w:rPr>
        <w:t xml:space="preserve"> </w:t>
      </w:r>
    </w:p>
    <w:p w:rsidR="00164794" w:rsidRDefault="00164794" w:rsidP="00164794">
      <w:pPr>
        <w:pStyle w:val="Caption"/>
        <w:jc w:val="both"/>
        <w:rPr>
          <w:rFonts w:cs="Arial"/>
          <w:sz w:val="22"/>
        </w:rPr>
      </w:pPr>
      <w:bookmarkStart w:id="23" w:name="_Ref510194062"/>
      <w:bookmarkStart w:id="24" w:name="_Toc515364020"/>
      <w:r>
        <w:rPr>
          <w:rFonts w:cs="Arial"/>
          <w:sz w:val="22"/>
        </w:rPr>
        <w:t xml:space="preserve">Figure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r>
        <w:rPr>
          <w:rFonts w:cs="Arial"/>
          <w:sz w:val="22"/>
        </w:rPr>
        <w:t>.</w:t>
      </w:r>
      <w:r>
        <w:rPr>
          <w:rFonts w:cs="Arial"/>
          <w:sz w:val="22"/>
        </w:rPr>
        <w:fldChar w:fldCharType="begin"/>
      </w:r>
      <w:r>
        <w:rPr>
          <w:rFonts w:cs="Arial"/>
          <w:sz w:val="22"/>
        </w:rPr>
        <w:instrText xml:space="preserve"> SEQ Figure \* ARABIC \s 1 </w:instrText>
      </w:r>
      <w:r>
        <w:rPr>
          <w:rFonts w:cs="Arial"/>
          <w:sz w:val="22"/>
        </w:rPr>
        <w:fldChar w:fldCharType="separate"/>
      </w:r>
      <w:r>
        <w:rPr>
          <w:rFonts w:cs="Arial"/>
          <w:noProof/>
          <w:sz w:val="22"/>
        </w:rPr>
        <w:t>3</w:t>
      </w:r>
      <w:r>
        <w:rPr>
          <w:rFonts w:cs="Arial"/>
          <w:sz w:val="22"/>
        </w:rPr>
        <w:fldChar w:fldCharType="end"/>
      </w:r>
      <w:bookmarkEnd w:id="23"/>
      <w:r>
        <w:rPr>
          <w:rFonts w:cs="Arial"/>
          <w:sz w:val="22"/>
        </w:rPr>
        <w:t>. Non-metric multidimensional scaling (NMDS) ordinations based on morphology (A) and metabarcoding (B) based data for samples collected in 2016. Points are experimental plots, and coloured ellipses are 95% confidence intervals of species centroids for each treatment (ellipses generated using the function, ‘</w:t>
      </w:r>
      <w:proofErr w:type="spellStart"/>
      <w:r>
        <w:rPr>
          <w:rFonts w:cs="Arial"/>
          <w:sz w:val="22"/>
        </w:rPr>
        <w:t>ordiellipses</w:t>
      </w:r>
      <w:proofErr w:type="spellEnd"/>
      <w:r>
        <w:rPr>
          <w:rFonts w:cs="Arial"/>
          <w:sz w:val="22"/>
        </w:rPr>
        <w:t>’ inside vegan). Plots along the same line segments have the same level of compaction. Colour assignments to ellipses in the tillage-traffic treatments ordination is based on the different traffic systems.</w:t>
      </w:r>
      <w:bookmarkEnd w:id="24"/>
      <w:r>
        <w:rPr>
          <w:rFonts w:cs="Arial"/>
          <w:sz w:val="22"/>
        </w:rPr>
        <w:t xml:space="preserve"> </w:t>
      </w:r>
    </w:p>
    <w:p w:rsidR="00164794" w:rsidRDefault="00164794" w:rsidP="00164794"/>
    <w:p w:rsidR="00164794" w:rsidRDefault="00164794" w:rsidP="00164794"/>
    <w:p w:rsidR="00164794" w:rsidRDefault="00164794" w:rsidP="00164794"/>
    <w:p w:rsidR="00164794" w:rsidRPr="008A6E00" w:rsidRDefault="00164794" w:rsidP="00164794"/>
    <w:p w:rsidR="00164794" w:rsidRDefault="00164794" w:rsidP="00164794">
      <w:pPr>
        <w:jc w:val="both"/>
        <w:rPr>
          <w:rFonts w:cs="Arial"/>
          <w:b/>
        </w:rPr>
      </w:pPr>
    </w:p>
    <w:p w:rsidR="00164794" w:rsidRDefault="00164794" w:rsidP="00164794">
      <w:pPr>
        <w:keepNext/>
        <w:rPr>
          <w:rFonts w:cs="Arial"/>
        </w:rPr>
      </w:pPr>
      <w:r>
        <w:rPr>
          <w:rFonts w:cs="Arial"/>
          <w:noProof/>
          <w:lang w:eastAsia="en-GB"/>
        </w:rPr>
        <w:lastRenderedPageBreak/>
        <w:drawing>
          <wp:inline distT="0" distB="0" distL="0" distR="0" wp14:anchorId="2914C8AE" wp14:editId="1D638E29">
            <wp:extent cx="5314950" cy="3486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hqprint">
                      <a:extLst>
                        <a:ext uri="{28A0092B-C50C-407E-A947-70E740481C1C}">
                          <a14:useLocalDpi xmlns:a14="http://schemas.microsoft.com/office/drawing/2010/main" val="0"/>
                        </a:ext>
                      </a:extLst>
                    </a:blip>
                    <a:srcRect l="2052" t="14034" r="5046" b="13901"/>
                    <a:stretch>
                      <a:fillRect/>
                    </a:stretch>
                  </pic:blipFill>
                  <pic:spPr bwMode="auto">
                    <a:xfrm>
                      <a:off x="0" y="0"/>
                      <a:ext cx="5314950" cy="3486150"/>
                    </a:xfrm>
                    <a:prstGeom prst="rect">
                      <a:avLst/>
                    </a:prstGeom>
                    <a:noFill/>
                    <a:ln>
                      <a:noFill/>
                    </a:ln>
                  </pic:spPr>
                </pic:pic>
              </a:graphicData>
            </a:graphic>
          </wp:inline>
        </w:drawing>
      </w:r>
    </w:p>
    <w:p w:rsidR="00164794" w:rsidRDefault="00164794" w:rsidP="00164794">
      <w:pPr>
        <w:jc w:val="both"/>
        <w:rPr>
          <w:rFonts w:cs="Arial"/>
          <w:i/>
          <w:sz w:val="22"/>
          <w:szCs w:val="22"/>
        </w:rPr>
      </w:pPr>
      <w:bookmarkStart w:id="25" w:name="_Ref510194047"/>
      <w:bookmarkStart w:id="26" w:name="_Toc515364021"/>
      <w:r>
        <w:rPr>
          <w:rFonts w:cs="Arial"/>
          <w:i/>
          <w:sz w:val="22"/>
          <w:szCs w:val="22"/>
        </w:rPr>
        <w:t xml:space="preserve">Figure </w:t>
      </w:r>
      <w:r>
        <w:rPr>
          <w:rFonts w:cs="Arial"/>
          <w:i/>
          <w:sz w:val="22"/>
          <w:szCs w:val="22"/>
        </w:rPr>
        <w:fldChar w:fldCharType="begin"/>
      </w:r>
      <w:r>
        <w:rPr>
          <w:rFonts w:cs="Arial"/>
          <w:i/>
          <w:sz w:val="22"/>
          <w:szCs w:val="22"/>
        </w:rPr>
        <w:instrText xml:space="preserve"> STYLEREF 1 \s </w:instrText>
      </w:r>
      <w:r>
        <w:rPr>
          <w:rFonts w:cs="Arial"/>
          <w:i/>
          <w:sz w:val="22"/>
          <w:szCs w:val="22"/>
        </w:rPr>
        <w:fldChar w:fldCharType="separate"/>
      </w:r>
      <w:r>
        <w:rPr>
          <w:rFonts w:cs="Arial"/>
          <w:i/>
          <w:noProof/>
          <w:sz w:val="22"/>
          <w:szCs w:val="22"/>
        </w:rPr>
        <w:t>7</w:t>
      </w:r>
      <w:r>
        <w:rPr>
          <w:rFonts w:cs="Arial"/>
          <w:i/>
          <w:sz w:val="22"/>
          <w:szCs w:val="22"/>
        </w:rPr>
        <w:fldChar w:fldCharType="end"/>
      </w:r>
      <w:bookmarkEnd w:id="25"/>
      <w:r>
        <w:rPr>
          <w:rFonts w:cs="Arial"/>
          <w:i/>
          <w:sz w:val="22"/>
          <w:szCs w:val="22"/>
        </w:rPr>
        <w:t>.4. Non-metric multidimensional scaling (NMDS) ordinations based on morphology (A) and metabarcoding (B) based data for samples collected in 2016. Points are experimental plots, and coloured ellipses are 95% confidence intervals of species centroids for each depth (ellipses generated using the function, ‘</w:t>
      </w:r>
      <w:proofErr w:type="spellStart"/>
      <w:r>
        <w:rPr>
          <w:rFonts w:cs="Arial"/>
          <w:i/>
          <w:sz w:val="22"/>
          <w:szCs w:val="22"/>
        </w:rPr>
        <w:t>ordiellipses</w:t>
      </w:r>
      <w:proofErr w:type="spellEnd"/>
      <w:r>
        <w:rPr>
          <w:rFonts w:cs="Arial"/>
          <w:i/>
          <w:sz w:val="22"/>
          <w:szCs w:val="22"/>
        </w:rPr>
        <w:t>’ inside vegan). Plots along the same line segments have the same level of compaction. Colour assignments to ellipses in the sampling depths ordination is based on the different depths of sampling (A and B)</w:t>
      </w:r>
      <w:bookmarkEnd w:id="26"/>
      <w:r>
        <w:rPr>
          <w:rFonts w:cs="Arial"/>
          <w:i/>
          <w:sz w:val="22"/>
          <w:szCs w:val="22"/>
        </w:rPr>
        <w:t xml:space="preserve"> </w:t>
      </w:r>
    </w:p>
    <w:p w:rsidR="00164794" w:rsidRDefault="00164794" w:rsidP="00164794">
      <w:pPr>
        <w:jc w:val="both"/>
        <w:rPr>
          <w:rFonts w:cs="Arial"/>
          <w:i/>
          <w:sz w:val="22"/>
          <w:szCs w:val="22"/>
        </w:rPr>
      </w:pPr>
    </w:p>
    <w:p w:rsidR="00164794" w:rsidRPr="008A6E00" w:rsidRDefault="00164794" w:rsidP="00164794">
      <w:pPr>
        <w:jc w:val="both"/>
        <w:rPr>
          <w:rFonts w:cs="Arial"/>
          <w:i/>
          <w:sz w:val="22"/>
          <w:szCs w:val="22"/>
        </w:rPr>
      </w:pPr>
    </w:p>
    <w:p w:rsidR="00164794" w:rsidRDefault="00164794" w:rsidP="00164794">
      <w:pPr>
        <w:pStyle w:val="Heading3"/>
        <w:ind w:left="0" w:firstLine="0"/>
      </w:pPr>
      <w:bookmarkStart w:id="27" w:name="_Toc515103954"/>
      <w:r>
        <w:t>Seasonal Difference</w:t>
      </w:r>
      <w:bookmarkEnd w:id="27"/>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Between the sampling times, most indices did not change significantly under the different tillage and traffic treatment conditions (</w:t>
      </w:r>
      <w:r w:rsidRPr="0023180E">
        <w:rPr>
          <w:rFonts w:ascii="Arial" w:hAnsi="Arial" w:cs="Arial"/>
          <w:sz w:val="22"/>
        </w:rPr>
        <w:fldChar w:fldCharType="begin"/>
      </w:r>
      <w:r w:rsidRPr="0023180E">
        <w:rPr>
          <w:rFonts w:ascii="Arial" w:hAnsi="Arial" w:cs="Arial"/>
          <w:sz w:val="22"/>
        </w:rPr>
        <w:instrText xml:space="preserve"> REF _Ref514711313 \h </w:instrText>
      </w:r>
      <w:r w:rsidR="0023180E" w:rsidRPr="0023180E">
        <w:rPr>
          <w:rFonts w:ascii="Arial" w:hAnsi="Arial" w:cs="Arial"/>
          <w:sz w:val="22"/>
        </w:rPr>
        <w:instrText xml:space="preserve">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 xml:space="preserve">Table </w:t>
      </w:r>
      <w:r w:rsidRPr="0023180E">
        <w:rPr>
          <w:rFonts w:ascii="Arial" w:hAnsi="Arial" w:cs="Arial"/>
          <w:noProof/>
          <w:sz w:val="22"/>
        </w:rPr>
        <w:t>7</w:t>
      </w:r>
      <w:r w:rsidRPr="0023180E">
        <w:rPr>
          <w:rFonts w:ascii="Arial" w:hAnsi="Arial" w:cs="Arial"/>
          <w:sz w:val="22"/>
        </w:rPr>
        <w:t>.</w:t>
      </w:r>
      <w:r w:rsidRPr="0023180E">
        <w:rPr>
          <w:rFonts w:ascii="Arial" w:hAnsi="Arial" w:cs="Arial"/>
          <w:noProof/>
          <w:sz w:val="22"/>
        </w:rPr>
        <w:t>2</w:t>
      </w:r>
      <w:r w:rsidRPr="0023180E">
        <w:rPr>
          <w:rFonts w:ascii="Arial" w:hAnsi="Arial" w:cs="Arial"/>
          <w:sz w:val="22"/>
        </w:rPr>
        <w:fldChar w:fldCharType="end"/>
      </w:r>
      <w:r w:rsidRPr="0023180E">
        <w:rPr>
          <w:rFonts w:ascii="Arial" w:hAnsi="Arial" w:cs="Arial"/>
          <w:sz w:val="22"/>
        </w:rPr>
        <w:t xml:space="preserve">). Plant parasitic index (PPI) changed significantly and it did so under most treatments. In all cases where PPI changed, it increased from years 2016 to 2017. Apart from the PPI, MI was the only other index that changed significantly from 2016 to 2017 and it did so under deep tillage alone.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Hypothesis testing of treatment effects on the indices using Kruskal-Wallis test showed that neither tillage nor traffic had any effect on the indices in the 2016 samples. However, there was a significant difference in the median MI of the tillage treatments in the 2017 (</w:t>
      </w:r>
      <w:r w:rsidRPr="0023180E">
        <w:rPr>
          <w:rFonts w:ascii="Arial" w:hAnsi="Arial" w:cs="Arial"/>
          <w:i/>
          <w:sz w:val="22"/>
        </w:rPr>
        <w:t>P</w:t>
      </w:r>
      <w:r w:rsidRPr="0023180E">
        <w:rPr>
          <w:rFonts w:ascii="Arial" w:hAnsi="Arial" w:cs="Arial"/>
          <w:sz w:val="22"/>
        </w:rPr>
        <w:t xml:space="preserve"> = 0.023). Dunn (1964) test for multiple comparison showed that the difference in median was between deep and shallow tillage alone, with the latter having the higher value. Sigma MI and PPI were only marginally affected in 2017 by traffic (</w:t>
      </w:r>
      <w:r w:rsidRPr="0023180E">
        <w:rPr>
          <w:rFonts w:ascii="Arial" w:hAnsi="Arial" w:cs="Arial"/>
          <w:i/>
          <w:sz w:val="22"/>
        </w:rPr>
        <w:t>P</w:t>
      </w:r>
      <w:r w:rsidRPr="0023180E">
        <w:rPr>
          <w:rFonts w:ascii="Arial" w:hAnsi="Arial" w:cs="Arial"/>
          <w:sz w:val="22"/>
        </w:rPr>
        <w:t xml:space="preserve"> = 0.073) and tillage (P = 0.077), respectively. </w:t>
      </w:r>
    </w:p>
    <w:p w:rsidR="00164794" w:rsidRDefault="00164794" w:rsidP="00164794">
      <w:pPr>
        <w:spacing w:after="120" w:line="360" w:lineRule="auto"/>
        <w:jc w:val="both"/>
        <w:rPr>
          <w:rFonts w:cs="Arial"/>
          <w:b/>
        </w:rPr>
      </w:pPr>
    </w:p>
    <w:p w:rsidR="00164794" w:rsidRDefault="00164794" w:rsidP="00164794">
      <w:pPr>
        <w:spacing w:after="120" w:line="360" w:lineRule="auto"/>
        <w:jc w:val="both"/>
        <w:rPr>
          <w:rFonts w:cs="Arial"/>
          <w:b/>
        </w:rPr>
      </w:pPr>
    </w:p>
    <w:p w:rsidR="00164794" w:rsidRDefault="00164794" w:rsidP="00164794">
      <w:pPr>
        <w:jc w:val="both"/>
        <w:rPr>
          <w:rFonts w:cs="Arial"/>
          <w:b/>
        </w:rPr>
      </w:pPr>
    </w:p>
    <w:p w:rsidR="00164794" w:rsidRDefault="00164794" w:rsidP="00164794">
      <w:pPr>
        <w:pStyle w:val="Caption"/>
        <w:jc w:val="both"/>
        <w:rPr>
          <w:rFonts w:cs="Arial"/>
          <w:sz w:val="22"/>
        </w:rPr>
      </w:pPr>
      <w:bookmarkStart w:id="28" w:name="_Ref514711313"/>
      <w:bookmarkStart w:id="29" w:name="_Toc515224102"/>
      <w:r>
        <w:rPr>
          <w:rFonts w:cs="Arial"/>
          <w:sz w:val="22"/>
        </w:rPr>
        <w:lastRenderedPageBreak/>
        <w:t xml:space="preserve">Table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r>
        <w:rPr>
          <w:rFonts w:cs="Arial"/>
          <w:sz w:val="22"/>
        </w:rPr>
        <w:t>.</w:t>
      </w:r>
      <w:r>
        <w:rPr>
          <w:rFonts w:cs="Arial"/>
          <w:sz w:val="22"/>
        </w:rPr>
        <w:fldChar w:fldCharType="begin"/>
      </w:r>
      <w:r>
        <w:rPr>
          <w:rFonts w:cs="Arial"/>
          <w:sz w:val="22"/>
        </w:rPr>
        <w:instrText xml:space="preserve"> SEQ Table \* ARABIC \s 1 </w:instrText>
      </w:r>
      <w:r>
        <w:rPr>
          <w:rFonts w:cs="Arial"/>
          <w:sz w:val="22"/>
        </w:rPr>
        <w:fldChar w:fldCharType="separate"/>
      </w:r>
      <w:r>
        <w:rPr>
          <w:rFonts w:cs="Arial"/>
          <w:noProof/>
          <w:sz w:val="22"/>
        </w:rPr>
        <w:t>2</w:t>
      </w:r>
      <w:r>
        <w:rPr>
          <w:rFonts w:cs="Arial"/>
          <w:sz w:val="22"/>
        </w:rPr>
        <w:fldChar w:fldCharType="end"/>
      </w:r>
      <w:bookmarkEnd w:id="28"/>
      <w:r>
        <w:rPr>
          <w:rFonts w:cs="Arial"/>
          <w:sz w:val="22"/>
        </w:rPr>
        <w:t>. Comparison between MI-family indices of the two metabarcoding data obtained from sampling years, 2016 and 2017 under different traffic and tillage treatments. The data for the two sampling years were both rarefied to 100 reads per sample. Numbers are means calculated for each treatment group.</w:t>
      </w:r>
      <w:bookmarkEnd w:id="29"/>
      <w:r>
        <w:rPr>
          <w:rFonts w:cs="Arial"/>
          <w:sz w:val="22"/>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4"/>
        <w:gridCol w:w="1008"/>
        <w:gridCol w:w="1793"/>
        <w:gridCol w:w="2107"/>
        <w:gridCol w:w="2858"/>
      </w:tblGrid>
      <w:tr w:rsidR="00164794" w:rsidTr="009F65B3">
        <w:trPr>
          <w:trHeight w:val="232"/>
        </w:trPr>
        <w:tc>
          <w:tcPr>
            <w:tcW w:w="695" w:type="pct"/>
            <w:tcBorders>
              <w:top w:val="single" w:sz="4" w:space="0" w:color="auto"/>
              <w:left w:val="nil"/>
              <w:bottom w:val="nil"/>
              <w:right w:val="nil"/>
            </w:tcBorders>
          </w:tcPr>
          <w:p w:rsidR="00164794" w:rsidRDefault="00164794" w:rsidP="009F65B3">
            <w:pPr>
              <w:jc w:val="center"/>
              <w:rPr>
                <w:rFonts w:cs="Arial"/>
                <w:b/>
                <w:szCs w:val="22"/>
              </w:rPr>
            </w:pPr>
          </w:p>
        </w:tc>
        <w:tc>
          <w:tcPr>
            <w:tcW w:w="559" w:type="pct"/>
            <w:tcBorders>
              <w:top w:val="single" w:sz="4" w:space="0" w:color="auto"/>
              <w:left w:val="nil"/>
              <w:bottom w:val="nil"/>
              <w:right w:val="nil"/>
            </w:tcBorders>
            <w:hideMark/>
          </w:tcPr>
          <w:p w:rsidR="00164794" w:rsidRDefault="00164794" w:rsidP="009F65B3">
            <w:pPr>
              <w:jc w:val="center"/>
              <w:rPr>
                <w:rFonts w:cs="Arial"/>
                <w:b/>
                <w:szCs w:val="22"/>
              </w:rPr>
            </w:pPr>
            <w:r>
              <w:rPr>
                <w:rFonts w:cs="Arial"/>
                <w:b/>
                <w:szCs w:val="22"/>
              </w:rPr>
              <w:t>Index</w:t>
            </w:r>
          </w:p>
        </w:tc>
        <w:tc>
          <w:tcPr>
            <w:tcW w:w="2162" w:type="pct"/>
            <w:gridSpan w:val="2"/>
            <w:tcBorders>
              <w:top w:val="single" w:sz="4" w:space="0" w:color="auto"/>
              <w:left w:val="nil"/>
              <w:bottom w:val="nil"/>
              <w:right w:val="nil"/>
            </w:tcBorders>
            <w:hideMark/>
          </w:tcPr>
          <w:p w:rsidR="00164794" w:rsidRDefault="00164794" w:rsidP="009F65B3">
            <w:pPr>
              <w:jc w:val="center"/>
              <w:rPr>
                <w:rFonts w:cs="Arial"/>
                <w:b/>
                <w:szCs w:val="22"/>
              </w:rPr>
            </w:pPr>
            <w:r>
              <w:rPr>
                <w:rFonts w:cs="Arial"/>
                <w:b/>
                <w:szCs w:val="22"/>
              </w:rPr>
              <w:t>Sampling Year</w:t>
            </w:r>
          </w:p>
        </w:tc>
        <w:tc>
          <w:tcPr>
            <w:tcW w:w="1584" w:type="pct"/>
            <w:tcBorders>
              <w:top w:val="single" w:sz="4" w:space="0" w:color="auto"/>
              <w:left w:val="nil"/>
              <w:bottom w:val="nil"/>
              <w:right w:val="nil"/>
            </w:tcBorders>
            <w:hideMark/>
          </w:tcPr>
          <w:p w:rsidR="00164794" w:rsidRDefault="00164794" w:rsidP="009F65B3">
            <w:pPr>
              <w:jc w:val="center"/>
              <w:rPr>
                <w:rFonts w:cs="Arial"/>
                <w:b/>
                <w:szCs w:val="22"/>
              </w:rPr>
            </w:pPr>
            <w:r>
              <w:rPr>
                <w:rFonts w:cs="Arial"/>
                <w:b/>
                <w:szCs w:val="22"/>
              </w:rPr>
              <w:t xml:space="preserve">Welch’s t-test </w:t>
            </w:r>
            <w:r>
              <w:rPr>
                <w:rFonts w:cs="Arial"/>
                <w:b/>
                <w:i/>
                <w:szCs w:val="22"/>
              </w:rPr>
              <w:t>P</w:t>
            </w:r>
            <w:r>
              <w:rPr>
                <w:rFonts w:cs="Arial"/>
                <w:b/>
                <w:szCs w:val="22"/>
              </w:rPr>
              <w:t xml:space="preserve"> value</w:t>
            </w:r>
          </w:p>
        </w:tc>
      </w:tr>
      <w:tr w:rsidR="00164794" w:rsidTr="009F65B3">
        <w:trPr>
          <w:trHeight w:val="232"/>
        </w:trPr>
        <w:tc>
          <w:tcPr>
            <w:tcW w:w="695" w:type="pct"/>
            <w:tcBorders>
              <w:top w:val="nil"/>
              <w:left w:val="nil"/>
              <w:bottom w:val="single" w:sz="4" w:space="0" w:color="auto"/>
              <w:right w:val="nil"/>
            </w:tcBorders>
          </w:tcPr>
          <w:p w:rsidR="00164794" w:rsidRDefault="00164794" w:rsidP="009F65B3">
            <w:pPr>
              <w:rPr>
                <w:rFonts w:cs="Arial"/>
                <w:b/>
                <w:szCs w:val="22"/>
              </w:rPr>
            </w:pPr>
          </w:p>
        </w:tc>
        <w:tc>
          <w:tcPr>
            <w:tcW w:w="559" w:type="pct"/>
            <w:tcBorders>
              <w:top w:val="nil"/>
              <w:left w:val="nil"/>
              <w:bottom w:val="single" w:sz="4" w:space="0" w:color="auto"/>
              <w:right w:val="nil"/>
            </w:tcBorders>
          </w:tcPr>
          <w:p w:rsidR="00164794" w:rsidRDefault="00164794" w:rsidP="009F65B3">
            <w:pPr>
              <w:rPr>
                <w:rFonts w:cs="Arial"/>
                <w:b/>
                <w:szCs w:val="22"/>
              </w:rPr>
            </w:pPr>
          </w:p>
        </w:tc>
        <w:tc>
          <w:tcPr>
            <w:tcW w:w="994" w:type="pct"/>
            <w:tcBorders>
              <w:top w:val="nil"/>
              <w:left w:val="nil"/>
              <w:bottom w:val="single" w:sz="4" w:space="0" w:color="auto"/>
              <w:right w:val="nil"/>
            </w:tcBorders>
            <w:hideMark/>
          </w:tcPr>
          <w:p w:rsidR="00164794" w:rsidRDefault="00164794" w:rsidP="009F65B3">
            <w:pPr>
              <w:jc w:val="center"/>
              <w:rPr>
                <w:rFonts w:cs="Arial"/>
                <w:b/>
                <w:szCs w:val="22"/>
              </w:rPr>
            </w:pPr>
            <w:r>
              <w:rPr>
                <w:rFonts w:cs="Arial"/>
                <w:b/>
                <w:szCs w:val="22"/>
              </w:rPr>
              <w:t>2016</w:t>
            </w:r>
          </w:p>
        </w:tc>
        <w:tc>
          <w:tcPr>
            <w:tcW w:w="1168" w:type="pct"/>
            <w:tcBorders>
              <w:top w:val="nil"/>
              <w:left w:val="nil"/>
              <w:bottom w:val="single" w:sz="4" w:space="0" w:color="auto"/>
              <w:right w:val="nil"/>
            </w:tcBorders>
            <w:hideMark/>
          </w:tcPr>
          <w:p w:rsidR="00164794" w:rsidRDefault="00164794" w:rsidP="009F65B3">
            <w:pPr>
              <w:jc w:val="center"/>
              <w:rPr>
                <w:rFonts w:cs="Arial"/>
                <w:b/>
                <w:szCs w:val="22"/>
              </w:rPr>
            </w:pPr>
            <w:r>
              <w:rPr>
                <w:rFonts w:cs="Arial"/>
                <w:b/>
                <w:szCs w:val="22"/>
              </w:rPr>
              <w:t>2017</w:t>
            </w:r>
          </w:p>
        </w:tc>
        <w:tc>
          <w:tcPr>
            <w:tcW w:w="1584" w:type="pct"/>
            <w:tcBorders>
              <w:top w:val="nil"/>
              <w:left w:val="nil"/>
              <w:bottom w:val="single" w:sz="4" w:space="0" w:color="auto"/>
              <w:right w:val="nil"/>
            </w:tcBorders>
          </w:tcPr>
          <w:p w:rsidR="00164794" w:rsidRDefault="00164794" w:rsidP="009F65B3">
            <w:pPr>
              <w:jc w:val="center"/>
              <w:rPr>
                <w:rFonts w:cs="Arial"/>
                <w:b/>
                <w:szCs w:val="22"/>
              </w:rPr>
            </w:pPr>
          </w:p>
        </w:tc>
      </w:tr>
      <w:tr w:rsidR="00164794" w:rsidTr="009F65B3">
        <w:trPr>
          <w:trHeight w:val="232"/>
        </w:trPr>
        <w:tc>
          <w:tcPr>
            <w:tcW w:w="695" w:type="pct"/>
            <w:tcBorders>
              <w:top w:val="single" w:sz="4" w:space="0" w:color="auto"/>
              <w:left w:val="nil"/>
              <w:bottom w:val="nil"/>
              <w:right w:val="nil"/>
            </w:tcBorders>
            <w:hideMark/>
          </w:tcPr>
          <w:p w:rsidR="00164794" w:rsidRDefault="00164794" w:rsidP="009F65B3">
            <w:pPr>
              <w:rPr>
                <w:rFonts w:cs="Arial"/>
                <w:b/>
                <w:szCs w:val="22"/>
              </w:rPr>
            </w:pPr>
            <w:r>
              <w:rPr>
                <w:rFonts w:cs="Arial"/>
                <w:b/>
                <w:szCs w:val="22"/>
              </w:rPr>
              <w:t>Traffic</w:t>
            </w:r>
          </w:p>
        </w:tc>
        <w:tc>
          <w:tcPr>
            <w:tcW w:w="559" w:type="pct"/>
            <w:tcBorders>
              <w:top w:val="single" w:sz="4" w:space="0" w:color="auto"/>
              <w:left w:val="nil"/>
              <w:bottom w:val="nil"/>
              <w:right w:val="nil"/>
            </w:tcBorders>
          </w:tcPr>
          <w:p w:rsidR="00164794" w:rsidRDefault="00164794" w:rsidP="009F65B3">
            <w:pPr>
              <w:rPr>
                <w:rFonts w:cs="Arial"/>
                <w:b/>
                <w:szCs w:val="22"/>
              </w:rPr>
            </w:pPr>
          </w:p>
        </w:tc>
        <w:tc>
          <w:tcPr>
            <w:tcW w:w="994" w:type="pct"/>
            <w:tcBorders>
              <w:top w:val="single" w:sz="4" w:space="0" w:color="auto"/>
              <w:left w:val="nil"/>
              <w:bottom w:val="nil"/>
              <w:right w:val="nil"/>
            </w:tcBorders>
          </w:tcPr>
          <w:p w:rsidR="00164794" w:rsidRDefault="00164794" w:rsidP="009F65B3">
            <w:pPr>
              <w:jc w:val="center"/>
              <w:rPr>
                <w:rFonts w:cs="Arial"/>
                <w:b/>
                <w:szCs w:val="22"/>
              </w:rPr>
            </w:pPr>
          </w:p>
        </w:tc>
        <w:tc>
          <w:tcPr>
            <w:tcW w:w="1168" w:type="pct"/>
            <w:tcBorders>
              <w:top w:val="single" w:sz="4" w:space="0" w:color="auto"/>
              <w:left w:val="nil"/>
              <w:bottom w:val="nil"/>
              <w:right w:val="nil"/>
            </w:tcBorders>
          </w:tcPr>
          <w:p w:rsidR="00164794" w:rsidRDefault="00164794" w:rsidP="009F65B3">
            <w:pPr>
              <w:jc w:val="center"/>
              <w:rPr>
                <w:rFonts w:cs="Arial"/>
                <w:b/>
                <w:szCs w:val="22"/>
              </w:rPr>
            </w:pPr>
          </w:p>
        </w:tc>
        <w:tc>
          <w:tcPr>
            <w:tcW w:w="1584" w:type="pct"/>
            <w:tcBorders>
              <w:top w:val="single" w:sz="4" w:space="0" w:color="auto"/>
              <w:left w:val="nil"/>
              <w:bottom w:val="nil"/>
              <w:right w:val="nil"/>
            </w:tcBorders>
          </w:tcPr>
          <w:p w:rsidR="00164794" w:rsidRDefault="00164794" w:rsidP="009F65B3">
            <w:pPr>
              <w:jc w:val="center"/>
              <w:rPr>
                <w:rFonts w:cs="Arial"/>
                <w:b/>
                <w:szCs w:val="22"/>
              </w:rPr>
            </w:pPr>
          </w:p>
        </w:tc>
      </w:tr>
      <w:tr w:rsidR="00164794" w:rsidTr="009F65B3">
        <w:trPr>
          <w:trHeight w:val="232"/>
        </w:trPr>
        <w:tc>
          <w:tcPr>
            <w:tcW w:w="695" w:type="pct"/>
            <w:hideMark/>
          </w:tcPr>
          <w:p w:rsidR="00164794" w:rsidRDefault="00164794" w:rsidP="009F65B3">
            <w:pPr>
              <w:rPr>
                <w:rFonts w:cs="Arial"/>
                <w:szCs w:val="22"/>
              </w:rPr>
            </w:pPr>
            <w:r>
              <w:rPr>
                <w:rFonts w:cs="Arial"/>
                <w:szCs w:val="22"/>
              </w:rPr>
              <w:t>CTF</w:t>
            </w:r>
          </w:p>
        </w:tc>
        <w:tc>
          <w:tcPr>
            <w:tcW w:w="559" w:type="pct"/>
          </w:tcPr>
          <w:p w:rsidR="00164794" w:rsidRDefault="00164794" w:rsidP="009F65B3">
            <w:pPr>
              <w:rPr>
                <w:rFonts w:cs="Arial"/>
                <w:szCs w:val="22"/>
              </w:rPr>
            </w:pPr>
          </w:p>
        </w:tc>
        <w:tc>
          <w:tcPr>
            <w:tcW w:w="994" w:type="pct"/>
          </w:tcPr>
          <w:p w:rsidR="00164794" w:rsidRDefault="00164794" w:rsidP="009F65B3">
            <w:pPr>
              <w:jc w:val="center"/>
              <w:rPr>
                <w:rFonts w:cs="Arial"/>
                <w:szCs w:val="22"/>
              </w:rPr>
            </w:pPr>
          </w:p>
        </w:tc>
        <w:tc>
          <w:tcPr>
            <w:tcW w:w="1168" w:type="pct"/>
          </w:tcPr>
          <w:p w:rsidR="00164794" w:rsidRDefault="00164794" w:rsidP="009F65B3">
            <w:pPr>
              <w:jc w:val="center"/>
              <w:rPr>
                <w:rFonts w:cs="Arial"/>
                <w:szCs w:val="22"/>
              </w:rPr>
            </w:pPr>
          </w:p>
        </w:tc>
        <w:tc>
          <w:tcPr>
            <w:tcW w:w="1584" w:type="pct"/>
          </w:tcPr>
          <w:p w:rsidR="00164794" w:rsidRDefault="00164794" w:rsidP="009F65B3">
            <w:pPr>
              <w:jc w:val="center"/>
              <w:rPr>
                <w:rFonts w:cs="Arial"/>
                <w:szCs w:val="22"/>
              </w:rPr>
            </w:pP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w:t>
            </w:r>
          </w:p>
        </w:tc>
        <w:tc>
          <w:tcPr>
            <w:tcW w:w="994" w:type="pct"/>
            <w:hideMark/>
          </w:tcPr>
          <w:p w:rsidR="00164794" w:rsidRDefault="00164794" w:rsidP="009F65B3">
            <w:pPr>
              <w:jc w:val="center"/>
              <w:rPr>
                <w:rFonts w:cs="Arial"/>
                <w:szCs w:val="22"/>
              </w:rPr>
            </w:pPr>
            <w:r>
              <w:rPr>
                <w:rFonts w:cs="Arial"/>
                <w:szCs w:val="22"/>
              </w:rPr>
              <w:t>1.94</w:t>
            </w:r>
          </w:p>
        </w:tc>
        <w:tc>
          <w:tcPr>
            <w:tcW w:w="1168" w:type="pct"/>
            <w:hideMark/>
          </w:tcPr>
          <w:p w:rsidR="00164794" w:rsidRDefault="00164794" w:rsidP="009F65B3">
            <w:pPr>
              <w:jc w:val="center"/>
              <w:rPr>
                <w:rFonts w:cs="Arial"/>
                <w:szCs w:val="22"/>
              </w:rPr>
            </w:pPr>
            <w:r>
              <w:rPr>
                <w:rFonts w:cs="Arial"/>
                <w:szCs w:val="22"/>
              </w:rPr>
              <w:t>1.67</w:t>
            </w:r>
          </w:p>
        </w:tc>
        <w:tc>
          <w:tcPr>
            <w:tcW w:w="1584" w:type="pct"/>
            <w:hideMark/>
          </w:tcPr>
          <w:p w:rsidR="00164794" w:rsidRDefault="00164794" w:rsidP="009F65B3">
            <w:pPr>
              <w:jc w:val="center"/>
              <w:rPr>
                <w:rFonts w:cs="Arial"/>
                <w:szCs w:val="22"/>
              </w:rPr>
            </w:pPr>
            <w:r>
              <w:rPr>
                <w:rFonts w:cs="Arial"/>
                <w:szCs w:val="22"/>
              </w:rPr>
              <w:t>0.150</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MI2-5</w:t>
            </w:r>
          </w:p>
        </w:tc>
        <w:tc>
          <w:tcPr>
            <w:tcW w:w="994" w:type="pct"/>
            <w:hideMark/>
          </w:tcPr>
          <w:p w:rsidR="00164794" w:rsidRDefault="00164794" w:rsidP="009F65B3">
            <w:pPr>
              <w:jc w:val="center"/>
              <w:rPr>
                <w:rFonts w:cs="Arial"/>
                <w:szCs w:val="22"/>
              </w:rPr>
            </w:pPr>
            <w:r>
              <w:rPr>
                <w:rFonts w:cs="Arial"/>
                <w:szCs w:val="22"/>
              </w:rPr>
              <w:t>2.00</w:t>
            </w:r>
          </w:p>
        </w:tc>
        <w:tc>
          <w:tcPr>
            <w:tcW w:w="1168" w:type="pct"/>
            <w:hideMark/>
          </w:tcPr>
          <w:p w:rsidR="00164794" w:rsidRDefault="00164794" w:rsidP="009F65B3">
            <w:pPr>
              <w:jc w:val="center"/>
              <w:rPr>
                <w:rFonts w:cs="Arial"/>
                <w:szCs w:val="22"/>
              </w:rPr>
            </w:pPr>
            <w:r>
              <w:rPr>
                <w:rFonts w:cs="Arial"/>
                <w:szCs w:val="22"/>
              </w:rPr>
              <w:t>2.10</w:t>
            </w:r>
          </w:p>
        </w:tc>
        <w:tc>
          <w:tcPr>
            <w:tcW w:w="1584" w:type="pct"/>
            <w:hideMark/>
          </w:tcPr>
          <w:p w:rsidR="00164794" w:rsidRDefault="00164794" w:rsidP="009F65B3">
            <w:pPr>
              <w:jc w:val="center"/>
              <w:rPr>
                <w:rFonts w:cs="Arial"/>
                <w:szCs w:val="22"/>
              </w:rPr>
            </w:pPr>
            <w:r>
              <w:rPr>
                <w:rFonts w:cs="Arial"/>
                <w:szCs w:val="22"/>
              </w:rPr>
              <w:t>0.339</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PPI*</w:t>
            </w:r>
          </w:p>
        </w:tc>
        <w:tc>
          <w:tcPr>
            <w:tcW w:w="994" w:type="pct"/>
            <w:hideMark/>
          </w:tcPr>
          <w:p w:rsidR="00164794" w:rsidRDefault="00164794" w:rsidP="009F65B3">
            <w:pPr>
              <w:jc w:val="center"/>
              <w:rPr>
                <w:rFonts w:cs="Arial"/>
                <w:szCs w:val="22"/>
              </w:rPr>
            </w:pPr>
            <w:r>
              <w:rPr>
                <w:rFonts w:cs="Arial"/>
                <w:szCs w:val="22"/>
              </w:rPr>
              <w:t>2.62</w:t>
            </w:r>
          </w:p>
        </w:tc>
        <w:tc>
          <w:tcPr>
            <w:tcW w:w="1168" w:type="pct"/>
            <w:hideMark/>
          </w:tcPr>
          <w:p w:rsidR="00164794" w:rsidRDefault="00164794" w:rsidP="009F65B3">
            <w:pPr>
              <w:jc w:val="center"/>
              <w:rPr>
                <w:rFonts w:cs="Arial"/>
                <w:szCs w:val="22"/>
              </w:rPr>
            </w:pPr>
            <w:r>
              <w:rPr>
                <w:rFonts w:cs="Arial"/>
                <w:szCs w:val="22"/>
              </w:rPr>
              <w:t>4.25</w:t>
            </w:r>
          </w:p>
        </w:tc>
        <w:tc>
          <w:tcPr>
            <w:tcW w:w="1584" w:type="pct"/>
            <w:hideMark/>
          </w:tcPr>
          <w:p w:rsidR="00164794" w:rsidRDefault="00164794" w:rsidP="009F65B3">
            <w:pPr>
              <w:jc w:val="center"/>
              <w:rPr>
                <w:rFonts w:cs="Arial"/>
                <w:szCs w:val="22"/>
              </w:rPr>
            </w:pPr>
            <w:r>
              <w:rPr>
                <w:rFonts w:cs="Arial"/>
                <w:szCs w:val="22"/>
              </w:rPr>
              <w:t>&lt;0.001</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proofErr w:type="spellStart"/>
            <w:r>
              <w:rPr>
                <w:rFonts w:cs="Arial"/>
                <w:szCs w:val="22"/>
              </w:rPr>
              <w:t>SigMI</w:t>
            </w:r>
            <w:proofErr w:type="spellEnd"/>
          </w:p>
        </w:tc>
        <w:tc>
          <w:tcPr>
            <w:tcW w:w="994" w:type="pct"/>
            <w:hideMark/>
          </w:tcPr>
          <w:p w:rsidR="00164794" w:rsidRDefault="00164794" w:rsidP="009F65B3">
            <w:pPr>
              <w:jc w:val="center"/>
              <w:rPr>
                <w:rFonts w:cs="Arial"/>
                <w:szCs w:val="22"/>
              </w:rPr>
            </w:pPr>
            <w:r>
              <w:rPr>
                <w:rFonts w:cs="Arial"/>
                <w:szCs w:val="22"/>
              </w:rPr>
              <w:t>2.44</w:t>
            </w:r>
          </w:p>
        </w:tc>
        <w:tc>
          <w:tcPr>
            <w:tcW w:w="1168" w:type="pct"/>
            <w:hideMark/>
          </w:tcPr>
          <w:p w:rsidR="00164794" w:rsidRDefault="00164794" w:rsidP="009F65B3">
            <w:pPr>
              <w:jc w:val="center"/>
              <w:rPr>
                <w:rFonts w:cs="Arial"/>
                <w:szCs w:val="22"/>
              </w:rPr>
            </w:pPr>
            <w:r>
              <w:rPr>
                <w:rFonts w:cs="Arial"/>
                <w:szCs w:val="22"/>
              </w:rPr>
              <w:t>1.80</w:t>
            </w:r>
          </w:p>
        </w:tc>
        <w:tc>
          <w:tcPr>
            <w:tcW w:w="1584" w:type="pct"/>
            <w:hideMark/>
          </w:tcPr>
          <w:p w:rsidR="00164794" w:rsidRDefault="00164794" w:rsidP="009F65B3">
            <w:pPr>
              <w:jc w:val="center"/>
              <w:rPr>
                <w:rFonts w:cs="Arial"/>
                <w:szCs w:val="22"/>
              </w:rPr>
            </w:pPr>
            <w:r>
              <w:rPr>
                <w:rFonts w:cs="Arial"/>
                <w:szCs w:val="22"/>
              </w:rPr>
              <w:t>0.055</w:t>
            </w:r>
          </w:p>
        </w:tc>
      </w:tr>
      <w:tr w:rsidR="00164794" w:rsidTr="009F65B3">
        <w:trPr>
          <w:trHeight w:val="232"/>
        </w:trPr>
        <w:tc>
          <w:tcPr>
            <w:tcW w:w="695" w:type="pct"/>
            <w:hideMark/>
          </w:tcPr>
          <w:p w:rsidR="00164794" w:rsidRDefault="00164794" w:rsidP="009F65B3">
            <w:pPr>
              <w:rPr>
                <w:rFonts w:cs="Arial"/>
                <w:szCs w:val="22"/>
              </w:rPr>
            </w:pPr>
            <w:r>
              <w:rPr>
                <w:rFonts w:cs="Arial"/>
                <w:szCs w:val="22"/>
              </w:rPr>
              <w:t>LGP</w:t>
            </w:r>
          </w:p>
        </w:tc>
        <w:tc>
          <w:tcPr>
            <w:tcW w:w="559" w:type="pct"/>
          </w:tcPr>
          <w:p w:rsidR="00164794" w:rsidRDefault="00164794" w:rsidP="009F65B3">
            <w:pPr>
              <w:rPr>
                <w:rFonts w:cs="Arial"/>
                <w:szCs w:val="22"/>
              </w:rPr>
            </w:pPr>
          </w:p>
        </w:tc>
        <w:tc>
          <w:tcPr>
            <w:tcW w:w="994" w:type="pct"/>
          </w:tcPr>
          <w:p w:rsidR="00164794" w:rsidRDefault="00164794" w:rsidP="009F65B3">
            <w:pPr>
              <w:jc w:val="center"/>
              <w:rPr>
                <w:rFonts w:cs="Arial"/>
                <w:szCs w:val="22"/>
              </w:rPr>
            </w:pPr>
          </w:p>
        </w:tc>
        <w:tc>
          <w:tcPr>
            <w:tcW w:w="1168" w:type="pct"/>
          </w:tcPr>
          <w:p w:rsidR="00164794" w:rsidRDefault="00164794" w:rsidP="009F65B3">
            <w:pPr>
              <w:jc w:val="center"/>
              <w:rPr>
                <w:rFonts w:cs="Arial"/>
                <w:szCs w:val="22"/>
              </w:rPr>
            </w:pPr>
          </w:p>
        </w:tc>
        <w:tc>
          <w:tcPr>
            <w:tcW w:w="1584" w:type="pct"/>
          </w:tcPr>
          <w:p w:rsidR="00164794" w:rsidRDefault="00164794" w:rsidP="009F65B3">
            <w:pPr>
              <w:jc w:val="center"/>
              <w:rPr>
                <w:rFonts w:cs="Arial"/>
                <w:szCs w:val="22"/>
              </w:rPr>
            </w:pP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w:t>
            </w:r>
          </w:p>
        </w:tc>
        <w:tc>
          <w:tcPr>
            <w:tcW w:w="994" w:type="pct"/>
            <w:hideMark/>
          </w:tcPr>
          <w:p w:rsidR="00164794" w:rsidRDefault="00164794" w:rsidP="009F65B3">
            <w:pPr>
              <w:jc w:val="center"/>
              <w:rPr>
                <w:rFonts w:cs="Arial"/>
                <w:szCs w:val="22"/>
              </w:rPr>
            </w:pPr>
            <w:r>
              <w:rPr>
                <w:rFonts w:cs="Arial"/>
                <w:szCs w:val="22"/>
              </w:rPr>
              <w:t>1.69</w:t>
            </w:r>
          </w:p>
        </w:tc>
        <w:tc>
          <w:tcPr>
            <w:tcW w:w="1168" w:type="pct"/>
            <w:hideMark/>
          </w:tcPr>
          <w:p w:rsidR="00164794" w:rsidRDefault="00164794" w:rsidP="009F65B3">
            <w:pPr>
              <w:jc w:val="center"/>
              <w:rPr>
                <w:rFonts w:cs="Arial"/>
                <w:szCs w:val="22"/>
              </w:rPr>
            </w:pPr>
            <w:r>
              <w:rPr>
                <w:rFonts w:cs="Arial"/>
                <w:szCs w:val="22"/>
              </w:rPr>
              <w:t>1.77</w:t>
            </w:r>
          </w:p>
        </w:tc>
        <w:tc>
          <w:tcPr>
            <w:tcW w:w="1584" w:type="pct"/>
            <w:hideMark/>
          </w:tcPr>
          <w:p w:rsidR="00164794" w:rsidRDefault="00164794" w:rsidP="009F65B3">
            <w:pPr>
              <w:jc w:val="center"/>
              <w:rPr>
                <w:rFonts w:cs="Arial"/>
                <w:szCs w:val="22"/>
              </w:rPr>
            </w:pPr>
            <w:r>
              <w:rPr>
                <w:rFonts w:cs="Arial"/>
                <w:szCs w:val="22"/>
              </w:rPr>
              <w:t>0.630</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MI2-5</w:t>
            </w:r>
          </w:p>
        </w:tc>
        <w:tc>
          <w:tcPr>
            <w:tcW w:w="994" w:type="pct"/>
            <w:hideMark/>
          </w:tcPr>
          <w:p w:rsidR="00164794" w:rsidRDefault="00164794" w:rsidP="009F65B3">
            <w:pPr>
              <w:jc w:val="center"/>
              <w:rPr>
                <w:rFonts w:cs="Arial"/>
                <w:szCs w:val="22"/>
              </w:rPr>
            </w:pPr>
            <w:r>
              <w:rPr>
                <w:rFonts w:cs="Arial"/>
                <w:szCs w:val="22"/>
              </w:rPr>
              <w:t>2.00</w:t>
            </w:r>
          </w:p>
        </w:tc>
        <w:tc>
          <w:tcPr>
            <w:tcW w:w="1168" w:type="pct"/>
            <w:hideMark/>
          </w:tcPr>
          <w:p w:rsidR="00164794" w:rsidRDefault="00164794" w:rsidP="009F65B3">
            <w:pPr>
              <w:jc w:val="center"/>
              <w:rPr>
                <w:rFonts w:cs="Arial"/>
                <w:szCs w:val="22"/>
              </w:rPr>
            </w:pPr>
            <w:r>
              <w:rPr>
                <w:rFonts w:cs="Arial"/>
                <w:szCs w:val="22"/>
              </w:rPr>
              <w:t>2.14</w:t>
            </w:r>
          </w:p>
        </w:tc>
        <w:tc>
          <w:tcPr>
            <w:tcW w:w="1584" w:type="pct"/>
            <w:hideMark/>
          </w:tcPr>
          <w:p w:rsidR="00164794" w:rsidRDefault="00164794" w:rsidP="009F65B3">
            <w:pPr>
              <w:jc w:val="center"/>
              <w:rPr>
                <w:rFonts w:cs="Arial"/>
                <w:szCs w:val="22"/>
              </w:rPr>
            </w:pPr>
            <w:r>
              <w:rPr>
                <w:rFonts w:cs="Arial"/>
                <w:szCs w:val="22"/>
              </w:rPr>
              <w:t>0.168</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PPI</w:t>
            </w:r>
          </w:p>
        </w:tc>
        <w:tc>
          <w:tcPr>
            <w:tcW w:w="994" w:type="pct"/>
            <w:hideMark/>
          </w:tcPr>
          <w:p w:rsidR="00164794" w:rsidRDefault="00164794" w:rsidP="009F65B3">
            <w:pPr>
              <w:jc w:val="center"/>
              <w:rPr>
                <w:rFonts w:cs="Arial"/>
                <w:szCs w:val="22"/>
              </w:rPr>
            </w:pPr>
            <w:r>
              <w:rPr>
                <w:rFonts w:cs="Arial"/>
                <w:szCs w:val="22"/>
              </w:rPr>
              <w:t>2.85</w:t>
            </w:r>
          </w:p>
        </w:tc>
        <w:tc>
          <w:tcPr>
            <w:tcW w:w="1168" w:type="pct"/>
            <w:hideMark/>
          </w:tcPr>
          <w:p w:rsidR="00164794" w:rsidRDefault="00164794" w:rsidP="009F65B3">
            <w:pPr>
              <w:jc w:val="center"/>
              <w:rPr>
                <w:rFonts w:cs="Arial"/>
                <w:szCs w:val="22"/>
              </w:rPr>
            </w:pPr>
            <w:r>
              <w:rPr>
                <w:rFonts w:cs="Arial"/>
                <w:szCs w:val="22"/>
              </w:rPr>
              <w:t>3.55</w:t>
            </w:r>
          </w:p>
        </w:tc>
        <w:tc>
          <w:tcPr>
            <w:tcW w:w="1584" w:type="pct"/>
            <w:hideMark/>
          </w:tcPr>
          <w:p w:rsidR="00164794" w:rsidRDefault="00164794" w:rsidP="009F65B3">
            <w:pPr>
              <w:jc w:val="center"/>
              <w:rPr>
                <w:rFonts w:cs="Arial"/>
                <w:szCs w:val="22"/>
              </w:rPr>
            </w:pPr>
            <w:r>
              <w:rPr>
                <w:rFonts w:cs="Arial"/>
                <w:szCs w:val="22"/>
              </w:rPr>
              <w:t>0.074</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proofErr w:type="spellStart"/>
            <w:r>
              <w:rPr>
                <w:rFonts w:cs="Arial"/>
                <w:szCs w:val="22"/>
              </w:rPr>
              <w:t>SigMI</w:t>
            </w:r>
            <w:proofErr w:type="spellEnd"/>
          </w:p>
        </w:tc>
        <w:tc>
          <w:tcPr>
            <w:tcW w:w="994" w:type="pct"/>
            <w:hideMark/>
          </w:tcPr>
          <w:p w:rsidR="00164794" w:rsidRDefault="00164794" w:rsidP="009F65B3">
            <w:pPr>
              <w:jc w:val="center"/>
              <w:rPr>
                <w:rFonts w:cs="Arial"/>
                <w:szCs w:val="22"/>
              </w:rPr>
            </w:pPr>
            <w:r>
              <w:rPr>
                <w:rFonts w:cs="Arial"/>
                <w:szCs w:val="22"/>
              </w:rPr>
              <w:t>2.32</w:t>
            </w:r>
          </w:p>
        </w:tc>
        <w:tc>
          <w:tcPr>
            <w:tcW w:w="1168" w:type="pct"/>
            <w:hideMark/>
          </w:tcPr>
          <w:p w:rsidR="00164794" w:rsidRDefault="00164794" w:rsidP="009F65B3">
            <w:pPr>
              <w:jc w:val="center"/>
              <w:rPr>
                <w:rFonts w:cs="Arial"/>
                <w:szCs w:val="22"/>
              </w:rPr>
            </w:pPr>
            <w:r>
              <w:rPr>
                <w:rFonts w:cs="Arial"/>
                <w:szCs w:val="22"/>
              </w:rPr>
              <w:t>2.24</w:t>
            </w:r>
          </w:p>
        </w:tc>
        <w:tc>
          <w:tcPr>
            <w:tcW w:w="1584" w:type="pct"/>
            <w:hideMark/>
          </w:tcPr>
          <w:p w:rsidR="00164794" w:rsidRDefault="00164794" w:rsidP="009F65B3">
            <w:pPr>
              <w:jc w:val="center"/>
              <w:rPr>
                <w:rFonts w:cs="Arial"/>
                <w:szCs w:val="22"/>
              </w:rPr>
            </w:pPr>
            <w:r>
              <w:rPr>
                <w:rFonts w:cs="Arial"/>
                <w:szCs w:val="22"/>
              </w:rPr>
              <w:t>0.769</w:t>
            </w:r>
          </w:p>
        </w:tc>
      </w:tr>
      <w:tr w:rsidR="00164794" w:rsidTr="009F65B3">
        <w:trPr>
          <w:trHeight w:val="232"/>
        </w:trPr>
        <w:tc>
          <w:tcPr>
            <w:tcW w:w="695" w:type="pct"/>
            <w:hideMark/>
          </w:tcPr>
          <w:p w:rsidR="00164794" w:rsidRDefault="00164794" w:rsidP="009F65B3">
            <w:pPr>
              <w:rPr>
                <w:rFonts w:cs="Arial"/>
                <w:szCs w:val="22"/>
              </w:rPr>
            </w:pPr>
            <w:r>
              <w:rPr>
                <w:rFonts w:cs="Arial"/>
                <w:szCs w:val="22"/>
              </w:rPr>
              <w:t>RTF</w:t>
            </w:r>
          </w:p>
        </w:tc>
        <w:tc>
          <w:tcPr>
            <w:tcW w:w="559" w:type="pct"/>
          </w:tcPr>
          <w:p w:rsidR="00164794" w:rsidRDefault="00164794" w:rsidP="009F65B3">
            <w:pPr>
              <w:rPr>
                <w:rFonts w:cs="Arial"/>
                <w:szCs w:val="22"/>
              </w:rPr>
            </w:pPr>
          </w:p>
        </w:tc>
        <w:tc>
          <w:tcPr>
            <w:tcW w:w="994" w:type="pct"/>
          </w:tcPr>
          <w:p w:rsidR="00164794" w:rsidRDefault="00164794" w:rsidP="009F65B3">
            <w:pPr>
              <w:jc w:val="center"/>
              <w:rPr>
                <w:rFonts w:cs="Arial"/>
                <w:szCs w:val="22"/>
              </w:rPr>
            </w:pPr>
          </w:p>
        </w:tc>
        <w:tc>
          <w:tcPr>
            <w:tcW w:w="1168" w:type="pct"/>
          </w:tcPr>
          <w:p w:rsidR="00164794" w:rsidRDefault="00164794" w:rsidP="009F65B3">
            <w:pPr>
              <w:jc w:val="center"/>
              <w:rPr>
                <w:rFonts w:cs="Arial"/>
                <w:szCs w:val="22"/>
              </w:rPr>
            </w:pPr>
          </w:p>
        </w:tc>
        <w:tc>
          <w:tcPr>
            <w:tcW w:w="1584" w:type="pct"/>
          </w:tcPr>
          <w:p w:rsidR="00164794" w:rsidRDefault="00164794" w:rsidP="009F65B3">
            <w:pPr>
              <w:jc w:val="center"/>
              <w:rPr>
                <w:rFonts w:cs="Arial"/>
                <w:szCs w:val="22"/>
              </w:rPr>
            </w:pP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w:t>
            </w:r>
          </w:p>
        </w:tc>
        <w:tc>
          <w:tcPr>
            <w:tcW w:w="994" w:type="pct"/>
            <w:hideMark/>
          </w:tcPr>
          <w:p w:rsidR="00164794" w:rsidRDefault="00164794" w:rsidP="009F65B3">
            <w:pPr>
              <w:jc w:val="center"/>
              <w:rPr>
                <w:rFonts w:cs="Arial"/>
                <w:szCs w:val="22"/>
              </w:rPr>
            </w:pPr>
            <w:r>
              <w:rPr>
                <w:rFonts w:cs="Arial"/>
                <w:szCs w:val="22"/>
              </w:rPr>
              <w:t>1.92</w:t>
            </w:r>
          </w:p>
        </w:tc>
        <w:tc>
          <w:tcPr>
            <w:tcW w:w="1168" w:type="pct"/>
            <w:hideMark/>
          </w:tcPr>
          <w:p w:rsidR="00164794" w:rsidRDefault="00164794" w:rsidP="009F65B3">
            <w:pPr>
              <w:jc w:val="center"/>
              <w:rPr>
                <w:rFonts w:cs="Arial"/>
                <w:szCs w:val="22"/>
              </w:rPr>
            </w:pPr>
            <w:r>
              <w:rPr>
                <w:rFonts w:cs="Arial"/>
                <w:szCs w:val="22"/>
              </w:rPr>
              <w:t>1.72</w:t>
            </w:r>
          </w:p>
        </w:tc>
        <w:tc>
          <w:tcPr>
            <w:tcW w:w="1584" w:type="pct"/>
            <w:hideMark/>
          </w:tcPr>
          <w:p w:rsidR="00164794" w:rsidRDefault="00164794" w:rsidP="009F65B3">
            <w:pPr>
              <w:jc w:val="center"/>
              <w:rPr>
                <w:rFonts w:cs="Arial"/>
                <w:szCs w:val="22"/>
              </w:rPr>
            </w:pPr>
            <w:r>
              <w:rPr>
                <w:rFonts w:cs="Arial"/>
                <w:szCs w:val="22"/>
              </w:rPr>
              <w:t>0.442</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MI2-5</w:t>
            </w:r>
          </w:p>
        </w:tc>
        <w:tc>
          <w:tcPr>
            <w:tcW w:w="994" w:type="pct"/>
            <w:hideMark/>
          </w:tcPr>
          <w:p w:rsidR="00164794" w:rsidRDefault="00164794" w:rsidP="009F65B3">
            <w:pPr>
              <w:jc w:val="center"/>
              <w:rPr>
                <w:rFonts w:cs="Arial"/>
                <w:szCs w:val="22"/>
              </w:rPr>
            </w:pPr>
            <w:r>
              <w:rPr>
                <w:rFonts w:cs="Arial"/>
                <w:szCs w:val="22"/>
              </w:rPr>
              <w:t>2.00</w:t>
            </w:r>
          </w:p>
        </w:tc>
        <w:tc>
          <w:tcPr>
            <w:tcW w:w="1168" w:type="pct"/>
            <w:hideMark/>
          </w:tcPr>
          <w:p w:rsidR="00164794" w:rsidRDefault="00164794" w:rsidP="009F65B3">
            <w:pPr>
              <w:jc w:val="center"/>
              <w:rPr>
                <w:rFonts w:cs="Arial"/>
                <w:szCs w:val="22"/>
              </w:rPr>
            </w:pPr>
            <w:r>
              <w:rPr>
                <w:rFonts w:cs="Arial"/>
                <w:szCs w:val="22"/>
              </w:rPr>
              <w:t>2.22</w:t>
            </w:r>
          </w:p>
        </w:tc>
        <w:tc>
          <w:tcPr>
            <w:tcW w:w="1584" w:type="pct"/>
            <w:hideMark/>
          </w:tcPr>
          <w:p w:rsidR="00164794" w:rsidRDefault="00164794" w:rsidP="009F65B3">
            <w:pPr>
              <w:jc w:val="center"/>
              <w:rPr>
                <w:rFonts w:cs="Arial"/>
                <w:szCs w:val="22"/>
              </w:rPr>
            </w:pPr>
            <w:r>
              <w:rPr>
                <w:rFonts w:cs="Arial"/>
                <w:szCs w:val="22"/>
              </w:rPr>
              <w:t>0.217</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PPI*</w:t>
            </w:r>
          </w:p>
        </w:tc>
        <w:tc>
          <w:tcPr>
            <w:tcW w:w="994" w:type="pct"/>
            <w:hideMark/>
          </w:tcPr>
          <w:p w:rsidR="00164794" w:rsidRDefault="00164794" w:rsidP="009F65B3">
            <w:pPr>
              <w:jc w:val="center"/>
              <w:rPr>
                <w:rFonts w:cs="Arial"/>
                <w:szCs w:val="22"/>
              </w:rPr>
            </w:pPr>
            <w:r>
              <w:rPr>
                <w:rFonts w:cs="Arial"/>
                <w:szCs w:val="22"/>
              </w:rPr>
              <w:t>2.25</w:t>
            </w:r>
          </w:p>
        </w:tc>
        <w:tc>
          <w:tcPr>
            <w:tcW w:w="1168" w:type="pct"/>
            <w:hideMark/>
          </w:tcPr>
          <w:p w:rsidR="00164794" w:rsidRDefault="00164794" w:rsidP="009F65B3">
            <w:pPr>
              <w:jc w:val="center"/>
              <w:rPr>
                <w:rFonts w:cs="Arial"/>
                <w:szCs w:val="22"/>
              </w:rPr>
            </w:pPr>
            <w:r>
              <w:rPr>
                <w:rFonts w:cs="Arial"/>
                <w:szCs w:val="22"/>
              </w:rPr>
              <w:t>3.38</w:t>
            </w:r>
          </w:p>
        </w:tc>
        <w:tc>
          <w:tcPr>
            <w:tcW w:w="1584" w:type="pct"/>
            <w:hideMark/>
          </w:tcPr>
          <w:p w:rsidR="00164794" w:rsidRDefault="00164794" w:rsidP="009F65B3">
            <w:pPr>
              <w:jc w:val="center"/>
              <w:rPr>
                <w:rFonts w:cs="Arial"/>
                <w:szCs w:val="22"/>
              </w:rPr>
            </w:pPr>
            <w:r>
              <w:rPr>
                <w:rFonts w:cs="Arial"/>
                <w:szCs w:val="22"/>
              </w:rPr>
              <w:t>0.012</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proofErr w:type="spellStart"/>
            <w:r>
              <w:rPr>
                <w:rFonts w:cs="Arial"/>
                <w:szCs w:val="22"/>
              </w:rPr>
              <w:t>SigMI</w:t>
            </w:r>
            <w:proofErr w:type="spellEnd"/>
          </w:p>
        </w:tc>
        <w:tc>
          <w:tcPr>
            <w:tcW w:w="994" w:type="pct"/>
            <w:hideMark/>
          </w:tcPr>
          <w:p w:rsidR="00164794" w:rsidRDefault="00164794" w:rsidP="009F65B3">
            <w:pPr>
              <w:jc w:val="center"/>
              <w:rPr>
                <w:rFonts w:cs="Arial"/>
                <w:szCs w:val="22"/>
              </w:rPr>
            </w:pPr>
            <w:r>
              <w:rPr>
                <w:rFonts w:cs="Arial"/>
                <w:szCs w:val="22"/>
              </w:rPr>
              <w:t>2.12</w:t>
            </w:r>
          </w:p>
        </w:tc>
        <w:tc>
          <w:tcPr>
            <w:tcW w:w="1168" w:type="pct"/>
            <w:hideMark/>
          </w:tcPr>
          <w:p w:rsidR="00164794" w:rsidRDefault="00164794" w:rsidP="009F65B3">
            <w:pPr>
              <w:jc w:val="center"/>
              <w:rPr>
                <w:rFonts w:cs="Arial"/>
                <w:szCs w:val="22"/>
              </w:rPr>
            </w:pPr>
            <w:r>
              <w:rPr>
                <w:rFonts w:cs="Arial"/>
                <w:szCs w:val="22"/>
              </w:rPr>
              <w:t>1.96</w:t>
            </w:r>
          </w:p>
        </w:tc>
        <w:tc>
          <w:tcPr>
            <w:tcW w:w="1584" w:type="pct"/>
            <w:hideMark/>
          </w:tcPr>
          <w:p w:rsidR="00164794" w:rsidRDefault="00164794" w:rsidP="009F65B3">
            <w:pPr>
              <w:jc w:val="center"/>
              <w:rPr>
                <w:rFonts w:cs="Arial"/>
                <w:szCs w:val="22"/>
              </w:rPr>
            </w:pPr>
            <w:r>
              <w:rPr>
                <w:rFonts w:cs="Arial"/>
                <w:szCs w:val="22"/>
              </w:rPr>
              <w:t>0.613</w:t>
            </w:r>
          </w:p>
        </w:tc>
      </w:tr>
      <w:tr w:rsidR="00164794" w:rsidTr="009F65B3">
        <w:trPr>
          <w:trHeight w:val="232"/>
        </w:trPr>
        <w:tc>
          <w:tcPr>
            <w:tcW w:w="695" w:type="pct"/>
            <w:tcBorders>
              <w:top w:val="nil"/>
              <w:left w:val="nil"/>
              <w:bottom w:val="single" w:sz="4" w:space="0" w:color="auto"/>
              <w:right w:val="nil"/>
            </w:tcBorders>
          </w:tcPr>
          <w:p w:rsidR="00164794" w:rsidRDefault="00164794" w:rsidP="009F65B3">
            <w:pPr>
              <w:rPr>
                <w:rFonts w:cs="Arial"/>
                <w:szCs w:val="22"/>
              </w:rPr>
            </w:pPr>
          </w:p>
        </w:tc>
        <w:tc>
          <w:tcPr>
            <w:tcW w:w="559" w:type="pct"/>
            <w:tcBorders>
              <w:top w:val="nil"/>
              <w:left w:val="nil"/>
              <w:bottom w:val="single" w:sz="4" w:space="0" w:color="auto"/>
              <w:right w:val="nil"/>
            </w:tcBorders>
          </w:tcPr>
          <w:p w:rsidR="00164794" w:rsidRDefault="00164794" w:rsidP="009F65B3">
            <w:pPr>
              <w:rPr>
                <w:rFonts w:cs="Arial"/>
                <w:szCs w:val="22"/>
              </w:rPr>
            </w:pPr>
          </w:p>
        </w:tc>
        <w:tc>
          <w:tcPr>
            <w:tcW w:w="994" w:type="pct"/>
            <w:tcBorders>
              <w:top w:val="nil"/>
              <w:left w:val="nil"/>
              <w:bottom w:val="single" w:sz="4" w:space="0" w:color="auto"/>
              <w:right w:val="nil"/>
            </w:tcBorders>
          </w:tcPr>
          <w:p w:rsidR="00164794" w:rsidRDefault="00164794" w:rsidP="009F65B3">
            <w:pPr>
              <w:jc w:val="center"/>
              <w:rPr>
                <w:rFonts w:cs="Arial"/>
                <w:szCs w:val="22"/>
              </w:rPr>
            </w:pPr>
          </w:p>
        </w:tc>
        <w:tc>
          <w:tcPr>
            <w:tcW w:w="1168" w:type="pct"/>
            <w:tcBorders>
              <w:top w:val="nil"/>
              <w:left w:val="nil"/>
              <w:bottom w:val="single" w:sz="4" w:space="0" w:color="auto"/>
              <w:right w:val="nil"/>
            </w:tcBorders>
          </w:tcPr>
          <w:p w:rsidR="00164794" w:rsidRDefault="00164794" w:rsidP="009F65B3">
            <w:pPr>
              <w:jc w:val="center"/>
              <w:rPr>
                <w:rFonts w:cs="Arial"/>
                <w:szCs w:val="22"/>
              </w:rPr>
            </w:pPr>
          </w:p>
        </w:tc>
        <w:tc>
          <w:tcPr>
            <w:tcW w:w="1584" w:type="pct"/>
            <w:tcBorders>
              <w:top w:val="nil"/>
              <w:left w:val="nil"/>
              <w:bottom w:val="single" w:sz="4" w:space="0" w:color="auto"/>
              <w:right w:val="nil"/>
            </w:tcBorders>
          </w:tcPr>
          <w:p w:rsidR="00164794" w:rsidRDefault="00164794" w:rsidP="009F65B3">
            <w:pPr>
              <w:jc w:val="center"/>
              <w:rPr>
                <w:rFonts w:cs="Arial"/>
                <w:szCs w:val="22"/>
              </w:rPr>
            </w:pPr>
          </w:p>
        </w:tc>
      </w:tr>
      <w:tr w:rsidR="00164794" w:rsidTr="009F65B3">
        <w:trPr>
          <w:trHeight w:val="232"/>
        </w:trPr>
        <w:tc>
          <w:tcPr>
            <w:tcW w:w="695" w:type="pct"/>
            <w:tcBorders>
              <w:top w:val="single" w:sz="4" w:space="0" w:color="auto"/>
              <w:left w:val="nil"/>
              <w:bottom w:val="nil"/>
              <w:right w:val="nil"/>
            </w:tcBorders>
            <w:hideMark/>
          </w:tcPr>
          <w:p w:rsidR="00164794" w:rsidRDefault="00164794" w:rsidP="009F65B3">
            <w:pPr>
              <w:rPr>
                <w:rFonts w:cs="Arial"/>
                <w:b/>
                <w:szCs w:val="22"/>
              </w:rPr>
            </w:pPr>
            <w:r>
              <w:rPr>
                <w:rFonts w:cs="Arial"/>
                <w:b/>
                <w:szCs w:val="22"/>
              </w:rPr>
              <w:t>Tillage</w:t>
            </w:r>
          </w:p>
        </w:tc>
        <w:tc>
          <w:tcPr>
            <w:tcW w:w="559" w:type="pct"/>
            <w:tcBorders>
              <w:top w:val="single" w:sz="4" w:space="0" w:color="auto"/>
              <w:left w:val="nil"/>
              <w:bottom w:val="nil"/>
              <w:right w:val="nil"/>
            </w:tcBorders>
          </w:tcPr>
          <w:p w:rsidR="00164794" w:rsidRDefault="00164794" w:rsidP="009F65B3">
            <w:pPr>
              <w:rPr>
                <w:rFonts w:cs="Arial"/>
                <w:b/>
                <w:szCs w:val="22"/>
              </w:rPr>
            </w:pPr>
          </w:p>
        </w:tc>
        <w:tc>
          <w:tcPr>
            <w:tcW w:w="994" w:type="pct"/>
            <w:tcBorders>
              <w:top w:val="single" w:sz="4" w:space="0" w:color="auto"/>
              <w:left w:val="nil"/>
              <w:bottom w:val="nil"/>
              <w:right w:val="nil"/>
            </w:tcBorders>
          </w:tcPr>
          <w:p w:rsidR="00164794" w:rsidRDefault="00164794" w:rsidP="009F65B3">
            <w:pPr>
              <w:jc w:val="center"/>
              <w:rPr>
                <w:rFonts w:cs="Arial"/>
                <w:b/>
                <w:szCs w:val="22"/>
              </w:rPr>
            </w:pPr>
          </w:p>
        </w:tc>
        <w:tc>
          <w:tcPr>
            <w:tcW w:w="1168" w:type="pct"/>
            <w:tcBorders>
              <w:top w:val="single" w:sz="4" w:space="0" w:color="auto"/>
              <w:left w:val="nil"/>
              <w:bottom w:val="nil"/>
              <w:right w:val="nil"/>
            </w:tcBorders>
          </w:tcPr>
          <w:p w:rsidR="00164794" w:rsidRDefault="00164794" w:rsidP="009F65B3">
            <w:pPr>
              <w:jc w:val="center"/>
              <w:rPr>
                <w:rFonts w:cs="Arial"/>
                <w:b/>
                <w:szCs w:val="22"/>
              </w:rPr>
            </w:pPr>
          </w:p>
        </w:tc>
        <w:tc>
          <w:tcPr>
            <w:tcW w:w="1584" w:type="pct"/>
            <w:tcBorders>
              <w:top w:val="single" w:sz="4" w:space="0" w:color="auto"/>
              <w:left w:val="nil"/>
              <w:bottom w:val="nil"/>
              <w:right w:val="nil"/>
            </w:tcBorders>
          </w:tcPr>
          <w:p w:rsidR="00164794" w:rsidRDefault="00164794" w:rsidP="009F65B3">
            <w:pPr>
              <w:jc w:val="center"/>
              <w:rPr>
                <w:rFonts w:cs="Arial"/>
                <w:b/>
                <w:szCs w:val="22"/>
              </w:rPr>
            </w:pPr>
          </w:p>
        </w:tc>
      </w:tr>
      <w:tr w:rsidR="00164794" w:rsidTr="009F65B3">
        <w:trPr>
          <w:trHeight w:val="232"/>
        </w:trPr>
        <w:tc>
          <w:tcPr>
            <w:tcW w:w="695" w:type="pct"/>
            <w:hideMark/>
          </w:tcPr>
          <w:p w:rsidR="00164794" w:rsidRDefault="00164794" w:rsidP="009F65B3">
            <w:pPr>
              <w:rPr>
                <w:rFonts w:cs="Arial"/>
                <w:szCs w:val="22"/>
              </w:rPr>
            </w:pPr>
            <w:r>
              <w:rPr>
                <w:rFonts w:cs="Arial"/>
                <w:szCs w:val="22"/>
              </w:rPr>
              <w:t>Deep</w:t>
            </w:r>
          </w:p>
        </w:tc>
        <w:tc>
          <w:tcPr>
            <w:tcW w:w="559" w:type="pct"/>
          </w:tcPr>
          <w:p w:rsidR="00164794" w:rsidRDefault="00164794" w:rsidP="009F65B3">
            <w:pPr>
              <w:rPr>
                <w:rFonts w:cs="Arial"/>
                <w:szCs w:val="22"/>
              </w:rPr>
            </w:pPr>
          </w:p>
        </w:tc>
        <w:tc>
          <w:tcPr>
            <w:tcW w:w="994" w:type="pct"/>
          </w:tcPr>
          <w:p w:rsidR="00164794" w:rsidRDefault="00164794" w:rsidP="009F65B3">
            <w:pPr>
              <w:jc w:val="center"/>
              <w:rPr>
                <w:rFonts w:cs="Arial"/>
                <w:szCs w:val="22"/>
              </w:rPr>
            </w:pPr>
          </w:p>
        </w:tc>
        <w:tc>
          <w:tcPr>
            <w:tcW w:w="1168" w:type="pct"/>
          </w:tcPr>
          <w:p w:rsidR="00164794" w:rsidRDefault="00164794" w:rsidP="009F65B3">
            <w:pPr>
              <w:jc w:val="center"/>
              <w:rPr>
                <w:rFonts w:cs="Arial"/>
                <w:szCs w:val="22"/>
              </w:rPr>
            </w:pPr>
          </w:p>
        </w:tc>
        <w:tc>
          <w:tcPr>
            <w:tcW w:w="1584" w:type="pct"/>
          </w:tcPr>
          <w:p w:rsidR="00164794" w:rsidRDefault="00164794" w:rsidP="009F65B3">
            <w:pPr>
              <w:jc w:val="center"/>
              <w:rPr>
                <w:rFonts w:cs="Arial"/>
                <w:szCs w:val="22"/>
              </w:rPr>
            </w:pP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w:t>
            </w:r>
          </w:p>
        </w:tc>
        <w:tc>
          <w:tcPr>
            <w:tcW w:w="994" w:type="pct"/>
            <w:hideMark/>
          </w:tcPr>
          <w:p w:rsidR="00164794" w:rsidRDefault="00164794" w:rsidP="009F65B3">
            <w:pPr>
              <w:jc w:val="center"/>
              <w:rPr>
                <w:rFonts w:cs="Arial"/>
                <w:szCs w:val="22"/>
              </w:rPr>
            </w:pPr>
            <w:r>
              <w:rPr>
                <w:rFonts w:cs="Arial"/>
                <w:szCs w:val="22"/>
              </w:rPr>
              <w:t>1.83</w:t>
            </w:r>
          </w:p>
        </w:tc>
        <w:tc>
          <w:tcPr>
            <w:tcW w:w="1168" w:type="pct"/>
            <w:hideMark/>
          </w:tcPr>
          <w:p w:rsidR="00164794" w:rsidRDefault="00164794" w:rsidP="009F65B3">
            <w:pPr>
              <w:jc w:val="center"/>
              <w:rPr>
                <w:rFonts w:cs="Arial"/>
                <w:szCs w:val="22"/>
              </w:rPr>
            </w:pPr>
            <w:r>
              <w:rPr>
                <w:rFonts w:cs="Arial"/>
                <w:szCs w:val="22"/>
              </w:rPr>
              <w:t>1.43</w:t>
            </w:r>
          </w:p>
        </w:tc>
        <w:tc>
          <w:tcPr>
            <w:tcW w:w="1584" w:type="pct"/>
            <w:hideMark/>
          </w:tcPr>
          <w:p w:rsidR="00164794" w:rsidRDefault="00164794" w:rsidP="009F65B3">
            <w:pPr>
              <w:jc w:val="center"/>
              <w:rPr>
                <w:rFonts w:cs="Arial"/>
                <w:szCs w:val="22"/>
              </w:rPr>
            </w:pPr>
            <w:r>
              <w:rPr>
                <w:rFonts w:cs="Arial"/>
                <w:szCs w:val="22"/>
              </w:rPr>
              <w:t>0.013</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MI2-5</w:t>
            </w:r>
          </w:p>
        </w:tc>
        <w:tc>
          <w:tcPr>
            <w:tcW w:w="994" w:type="pct"/>
            <w:hideMark/>
          </w:tcPr>
          <w:p w:rsidR="00164794" w:rsidRDefault="00164794" w:rsidP="009F65B3">
            <w:pPr>
              <w:jc w:val="center"/>
              <w:rPr>
                <w:rFonts w:cs="Arial"/>
                <w:szCs w:val="22"/>
              </w:rPr>
            </w:pPr>
            <w:r>
              <w:rPr>
                <w:rFonts w:cs="Arial"/>
                <w:szCs w:val="22"/>
              </w:rPr>
              <w:t>2.00</w:t>
            </w:r>
          </w:p>
        </w:tc>
        <w:tc>
          <w:tcPr>
            <w:tcW w:w="1168" w:type="pct"/>
            <w:hideMark/>
          </w:tcPr>
          <w:p w:rsidR="00164794" w:rsidRDefault="00164794" w:rsidP="009F65B3">
            <w:pPr>
              <w:jc w:val="center"/>
              <w:rPr>
                <w:rFonts w:cs="Arial"/>
                <w:szCs w:val="22"/>
              </w:rPr>
            </w:pPr>
            <w:r>
              <w:rPr>
                <w:rFonts w:cs="Arial"/>
                <w:szCs w:val="22"/>
              </w:rPr>
              <w:t>2.12</w:t>
            </w:r>
          </w:p>
        </w:tc>
        <w:tc>
          <w:tcPr>
            <w:tcW w:w="1584" w:type="pct"/>
            <w:hideMark/>
          </w:tcPr>
          <w:p w:rsidR="00164794" w:rsidRDefault="00164794" w:rsidP="009F65B3">
            <w:pPr>
              <w:jc w:val="center"/>
              <w:rPr>
                <w:rFonts w:cs="Arial"/>
                <w:szCs w:val="22"/>
              </w:rPr>
            </w:pPr>
            <w:r>
              <w:rPr>
                <w:rFonts w:cs="Arial"/>
                <w:szCs w:val="22"/>
              </w:rPr>
              <w:t>0.151</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PPI*</w:t>
            </w:r>
          </w:p>
        </w:tc>
        <w:tc>
          <w:tcPr>
            <w:tcW w:w="994" w:type="pct"/>
            <w:hideMark/>
          </w:tcPr>
          <w:p w:rsidR="00164794" w:rsidRDefault="00164794" w:rsidP="009F65B3">
            <w:pPr>
              <w:jc w:val="center"/>
              <w:rPr>
                <w:rFonts w:cs="Arial"/>
                <w:szCs w:val="22"/>
              </w:rPr>
            </w:pPr>
            <w:r>
              <w:rPr>
                <w:rFonts w:cs="Arial"/>
                <w:szCs w:val="22"/>
              </w:rPr>
              <w:t>2.33</w:t>
            </w:r>
          </w:p>
        </w:tc>
        <w:tc>
          <w:tcPr>
            <w:tcW w:w="1168" w:type="pct"/>
            <w:hideMark/>
          </w:tcPr>
          <w:p w:rsidR="00164794" w:rsidRDefault="00164794" w:rsidP="009F65B3">
            <w:pPr>
              <w:jc w:val="center"/>
              <w:rPr>
                <w:rFonts w:cs="Arial"/>
                <w:szCs w:val="22"/>
              </w:rPr>
            </w:pPr>
            <w:r>
              <w:rPr>
                <w:rFonts w:cs="Arial"/>
                <w:szCs w:val="22"/>
              </w:rPr>
              <w:t>4.06</w:t>
            </w:r>
          </w:p>
        </w:tc>
        <w:tc>
          <w:tcPr>
            <w:tcW w:w="1584" w:type="pct"/>
            <w:hideMark/>
          </w:tcPr>
          <w:p w:rsidR="00164794" w:rsidRDefault="00164794" w:rsidP="009F65B3">
            <w:pPr>
              <w:jc w:val="center"/>
              <w:rPr>
                <w:rFonts w:cs="Arial"/>
                <w:szCs w:val="22"/>
              </w:rPr>
            </w:pPr>
            <w:r>
              <w:rPr>
                <w:rFonts w:cs="Arial"/>
                <w:szCs w:val="22"/>
              </w:rPr>
              <w:t>&lt;0.001</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proofErr w:type="spellStart"/>
            <w:r>
              <w:rPr>
                <w:rFonts w:cs="Arial"/>
                <w:szCs w:val="22"/>
              </w:rPr>
              <w:t>SigMI</w:t>
            </w:r>
            <w:proofErr w:type="spellEnd"/>
          </w:p>
        </w:tc>
        <w:tc>
          <w:tcPr>
            <w:tcW w:w="994" w:type="pct"/>
            <w:hideMark/>
          </w:tcPr>
          <w:p w:rsidR="00164794" w:rsidRDefault="00164794" w:rsidP="009F65B3">
            <w:pPr>
              <w:jc w:val="center"/>
              <w:rPr>
                <w:rFonts w:cs="Arial"/>
                <w:szCs w:val="22"/>
              </w:rPr>
            </w:pPr>
            <w:r>
              <w:rPr>
                <w:rFonts w:cs="Arial"/>
                <w:szCs w:val="22"/>
              </w:rPr>
              <w:t>2.17</w:t>
            </w:r>
          </w:p>
        </w:tc>
        <w:tc>
          <w:tcPr>
            <w:tcW w:w="1168" w:type="pct"/>
            <w:hideMark/>
          </w:tcPr>
          <w:p w:rsidR="00164794" w:rsidRDefault="00164794" w:rsidP="009F65B3">
            <w:pPr>
              <w:jc w:val="center"/>
              <w:rPr>
                <w:rFonts w:cs="Arial"/>
                <w:szCs w:val="22"/>
              </w:rPr>
            </w:pPr>
            <w:r>
              <w:rPr>
                <w:rFonts w:cs="Arial"/>
                <w:szCs w:val="22"/>
              </w:rPr>
              <w:t>1.92</w:t>
            </w:r>
          </w:p>
        </w:tc>
        <w:tc>
          <w:tcPr>
            <w:tcW w:w="1584" w:type="pct"/>
            <w:hideMark/>
          </w:tcPr>
          <w:p w:rsidR="00164794" w:rsidRDefault="00164794" w:rsidP="009F65B3">
            <w:pPr>
              <w:jc w:val="center"/>
              <w:rPr>
                <w:rFonts w:cs="Arial"/>
                <w:szCs w:val="22"/>
              </w:rPr>
            </w:pPr>
            <w:r>
              <w:rPr>
                <w:rFonts w:cs="Arial"/>
                <w:szCs w:val="22"/>
              </w:rPr>
              <w:t>0.449</w:t>
            </w:r>
          </w:p>
        </w:tc>
      </w:tr>
      <w:tr w:rsidR="00164794" w:rsidTr="009F65B3">
        <w:trPr>
          <w:trHeight w:val="232"/>
        </w:trPr>
        <w:tc>
          <w:tcPr>
            <w:tcW w:w="695" w:type="pct"/>
            <w:hideMark/>
          </w:tcPr>
          <w:p w:rsidR="00164794" w:rsidRDefault="00164794" w:rsidP="009F65B3">
            <w:pPr>
              <w:rPr>
                <w:rFonts w:cs="Arial"/>
                <w:szCs w:val="22"/>
              </w:rPr>
            </w:pPr>
            <w:r>
              <w:rPr>
                <w:rFonts w:cs="Arial"/>
                <w:szCs w:val="22"/>
              </w:rPr>
              <w:t>Shallow</w:t>
            </w:r>
          </w:p>
        </w:tc>
        <w:tc>
          <w:tcPr>
            <w:tcW w:w="559" w:type="pct"/>
          </w:tcPr>
          <w:p w:rsidR="00164794" w:rsidRDefault="00164794" w:rsidP="009F65B3">
            <w:pPr>
              <w:rPr>
                <w:rFonts w:cs="Arial"/>
                <w:szCs w:val="22"/>
              </w:rPr>
            </w:pPr>
          </w:p>
        </w:tc>
        <w:tc>
          <w:tcPr>
            <w:tcW w:w="994" w:type="pct"/>
          </w:tcPr>
          <w:p w:rsidR="00164794" w:rsidRDefault="00164794" w:rsidP="009F65B3">
            <w:pPr>
              <w:jc w:val="center"/>
              <w:rPr>
                <w:rFonts w:cs="Arial"/>
                <w:szCs w:val="22"/>
              </w:rPr>
            </w:pPr>
          </w:p>
        </w:tc>
        <w:tc>
          <w:tcPr>
            <w:tcW w:w="1168" w:type="pct"/>
          </w:tcPr>
          <w:p w:rsidR="00164794" w:rsidRDefault="00164794" w:rsidP="009F65B3">
            <w:pPr>
              <w:jc w:val="center"/>
              <w:rPr>
                <w:rFonts w:cs="Arial"/>
                <w:szCs w:val="22"/>
              </w:rPr>
            </w:pPr>
          </w:p>
        </w:tc>
        <w:tc>
          <w:tcPr>
            <w:tcW w:w="1584" w:type="pct"/>
          </w:tcPr>
          <w:p w:rsidR="00164794" w:rsidRDefault="00164794" w:rsidP="009F65B3">
            <w:pPr>
              <w:jc w:val="center"/>
              <w:rPr>
                <w:rFonts w:cs="Arial"/>
                <w:szCs w:val="22"/>
              </w:rPr>
            </w:pP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w:t>
            </w:r>
          </w:p>
        </w:tc>
        <w:tc>
          <w:tcPr>
            <w:tcW w:w="994" w:type="pct"/>
            <w:hideMark/>
          </w:tcPr>
          <w:p w:rsidR="00164794" w:rsidRDefault="00164794" w:rsidP="009F65B3">
            <w:pPr>
              <w:jc w:val="center"/>
              <w:rPr>
                <w:rFonts w:cs="Arial"/>
                <w:szCs w:val="22"/>
              </w:rPr>
            </w:pPr>
            <w:r>
              <w:rPr>
                <w:rFonts w:cs="Arial"/>
                <w:szCs w:val="22"/>
              </w:rPr>
              <w:t>1.80</w:t>
            </w:r>
          </w:p>
        </w:tc>
        <w:tc>
          <w:tcPr>
            <w:tcW w:w="1168" w:type="pct"/>
            <w:hideMark/>
          </w:tcPr>
          <w:p w:rsidR="00164794" w:rsidRDefault="00164794" w:rsidP="009F65B3">
            <w:pPr>
              <w:jc w:val="center"/>
              <w:rPr>
                <w:rFonts w:cs="Arial"/>
                <w:szCs w:val="22"/>
              </w:rPr>
            </w:pPr>
            <w:r>
              <w:rPr>
                <w:rFonts w:cs="Arial"/>
                <w:szCs w:val="22"/>
              </w:rPr>
              <w:t>1.98</w:t>
            </w:r>
          </w:p>
        </w:tc>
        <w:tc>
          <w:tcPr>
            <w:tcW w:w="1584" w:type="pct"/>
            <w:hideMark/>
          </w:tcPr>
          <w:p w:rsidR="00164794" w:rsidRDefault="00164794" w:rsidP="009F65B3">
            <w:pPr>
              <w:jc w:val="center"/>
              <w:rPr>
                <w:rFonts w:cs="Arial"/>
                <w:szCs w:val="22"/>
              </w:rPr>
            </w:pPr>
            <w:r>
              <w:rPr>
                <w:rFonts w:cs="Arial"/>
                <w:szCs w:val="22"/>
              </w:rPr>
              <w:t>0.451</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MI2-5</w:t>
            </w:r>
          </w:p>
        </w:tc>
        <w:tc>
          <w:tcPr>
            <w:tcW w:w="994" w:type="pct"/>
            <w:hideMark/>
          </w:tcPr>
          <w:p w:rsidR="00164794" w:rsidRDefault="00164794" w:rsidP="009F65B3">
            <w:pPr>
              <w:jc w:val="center"/>
              <w:rPr>
                <w:rFonts w:cs="Arial"/>
                <w:szCs w:val="22"/>
              </w:rPr>
            </w:pPr>
            <w:r>
              <w:rPr>
                <w:rFonts w:cs="Arial"/>
                <w:szCs w:val="22"/>
              </w:rPr>
              <w:t>2.00</w:t>
            </w:r>
          </w:p>
        </w:tc>
        <w:tc>
          <w:tcPr>
            <w:tcW w:w="1168" w:type="pct"/>
            <w:hideMark/>
          </w:tcPr>
          <w:p w:rsidR="00164794" w:rsidRDefault="00164794" w:rsidP="009F65B3">
            <w:pPr>
              <w:jc w:val="center"/>
              <w:rPr>
                <w:rFonts w:cs="Arial"/>
                <w:szCs w:val="22"/>
              </w:rPr>
            </w:pPr>
            <w:r>
              <w:rPr>
                <w:rFonts w:cs="Arial"/>
                <w:szCs w:val="22"/>
              </w:rPr>
              <w:t>2.17</w:t>
            </w:r>
          </w:p>
        </w:tc>
        <w:tc>
          <w:tcPr>
            <w:tcW w:w="1584" w:type="pct"/>
            <w:hideMark/>
          </w:tcPr>
          <w:p w:rsidR="00164794" w:rsidRDefault="00164794" w:rsidP="009F65B3">
            <w:pPr>
              <w:jc w:val="center"/>
              <w:rPr>
                <w:rFonts w:cs="Arial"/>
                <w:szCs w:val="22"/>
              </w:rPr>
            </w:pPr>
            <w:r>
              <w:rPr>
                <w:rFonts w:cs="Arial"/>
                <w:szCs w:val="22"/>
              </w:rPr>
              <w:t>0.336</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PPI*</w:t>
            </w:r>
          </w:p>
        </w:tc>
        <w:tc>
          <w:tcPr>
            <w:tcW w:w="994" w:type="pct"/>
            <w:hideMark/>
          </w:tcPr>
          <w:p w:rsidR="00164794" w:rsidRDefault="00164794" w:rsidP="009F65B3">
            <w:pPr>
              <w:jc w:val="center"/>
              <w:rPr>
                <w:rFonts w:cs="Arial"/>
                <w:szCs w:val="22"/>
              </w:rPr>
            </w:pPr>
            <w:r>
              <w:rPr>
                <w:rFonts w:cs="Arial"/>
                <w:szCs w:val="22"/>
              </w:rPr>
              <w:t>2.67</w:t>
            </w:r>
          </w:p>
        </w:tc>
        <w:tc>
          <w:tcPr>
            <w:tcW w:w="1168" w:type="pct"/>
            <w:hideMark/>
          </w:tcPr>
          <w:p w:rsidR="00164794" w:rsidRDefault="00164794" w:rsidP="009F65B3">
            <w:pPr>
              <w:jc w:val="center"/>
              <w:rPr>
                <w:rFonts w:cs="Arial"/>
                <w:szCs w:val="22"/>
              </w:rPr>
            </w:pPr>
            <w:r>
              <w:rPr>
                <w:rFonts w:cs="Arial"/>
                <w:szCs w:val="22"/>
              </w:rPr>
              <w:t>3.89</w:t>
            </w:r>
          </w:p>
        </w:tc>
        <w:tc>
          <w:tcPr>
            <w:tcW w:w="1584" w:type="pct"/>
            <w:hideMark/>
          </w:tcPr>
          <w:p w:rsidR="00164794" w:rsidRDefault="00164794" w:rsidP="009F65B3">
            <w:pPr>
              <w:jc w:val="center"/>
              <w:rPr>
                <w:rFonts w:cs="Arial"/>
                <w:szCs w:val="22"/>
              </w:rPr>
            </w:pPr>
            <w:r>
              <w:rPr>
                <w:rFonts w:cs="Arial"/>
                <w:szCs w:val="22"/>
              </w:rPr>
              <w:t>0.007</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proofErr w:type="spellStart"/>
            <w:r>
              <w:rPr>
                <w:rFonts w:cs="Arial"/>
                <w:szCs w:val="22"/>
              </w:rPr>
              <w:t>SigMI</w:t>
            </w:r>
            <w:proofErr w:type="spellEnd"/>
          </w:p>
        </w:tc>
        <w:tc>
          <w:tcPr>
            <w:tcW w:w="994" w:type="pct"/>
            <w:hideMark/>
          </w:tcPr>
          <w:p w:rsidR="00164794" w:rsidRDefault="00164794" w:rsidP="009F65B3">
            <w:pPr>
              <w:jc w:val="center"/>
              <w:rPr>
                <w:rFonts w:cs="Arial"/>
                <w:szCs w:val="22"/>
              </w:rPr>
            </w:pPr>
            <w:r>
              <w:rPr>
                <w:rFonts w:cs="Arial"/>
                <w:szCs w:val="22"/>
              </w:rPr>
              <w:t>2.30</w:t>
            </w:r>
          </w:p>
        </w:tc>
        <w:tc>
          <w:tcPr>
            <w:tcW w:w="1168" w:type="pct"/>
            <w:hideMark/>
          </w:tcPr>
          <w:p w:rsidR="00164794" w:rsidRDefault="00164794" w:rsidP="009F65B3">
            <w:pPr>
              <w:jc w:val="center"/>
              <w:rPr>
                <w:rFonts w:cs="Arial"/>
                <w:szCs w:val="22"/>
              </w:rPr>
            </w:pPr>
            <w:r>
              <w:rPr>
                <w:rFonts w:cs="Arial"/>
                <w:szCs w:val="22"/>
              </w:rPr>
              <w:t>2.14</w:t>
            </w:r>
          </w:p>
        </w:tc>
        <w:tc>
          <w:tcPr>
            <w:tcW w:w="1584" w:type="pct"/>
            <w:hideMark/>
          </w:tcPr>
          <w:p w:rsidR="00164794" w:rsidRDefault="00164794" w:rsidP="009F65B3">
            <w:pPr>
              <w:jc w:val="center"/>
              <w:rPr>
                <w:rFonts w:cs="Arial"/>
                <w:szCs w:val="22"/>
              </w:rPr>
            </w:pPr>
            <w:r>
              <w:rPr>
                <w:rFonts w:cs="Arial"/>
                <w:szCs w:val="22"/>
              </w:rPr>
              <w:t>0.676</w:t>
            </w:r>
          </w:p>
        </w:tc>
      </w:tr>
      <w:tr w:rsidR="00164794" w:rsidTr="009F65B3">
        <w:trPr>
          <w:trHeight w:val="232"/>
        </w:trPr>
        <w:tc>
          <w:tcPr>
            <w:tcW w:w="695" w:type="pct"/>
            <w:hideMark/>
          </w:tcPr>
          <w:p w:rsidR="00164794" w:rsidRDefault="00164794" w:rsidP="009F65B3">
            <w:pPr>
              <w:rPr>
                <w:rFonts w:cs="Arial"/>
                <w:szCs w:val="22"/>
              </w:rPr>
            </w:pPr>
            <w:r>
              <w:rPr>
                <w:rFonts w:cs="Arial"/>
                <w:szCs w:val="22"/>
              </w:rPr>
              <w:t>Zero</w:t>
            </w:r>
          </w:p>
        </w:tc>
        <w:tc>
          <w:tcPr>
            <w:tcW w:w="559" w:type="pct"/>
          </w:tcPr>
          <w:p w:rsidR="00164794" w:rsidRDefault="00164794" w:rsidP="009F65B3">
            <w:pPr>
              <w:rPr>
                <w:rFonts w:cs="Arial"/>
                <w:szCs w:val="22"/>
              </w:rPr>
            </w:pPr>
          </w:p>
        </w:tc>
        <w:tc>
          <w:tcPr>
            <w:tcW w:w="994" w:type="pct"/>
          </w:tcPr>
          <w:p w:rsidR="00164794" w:rsidRDefault="00164794" w:rsidP="009F65B3">
            <w:pPr>
              <w:jc w:val="center"/>
              <w:rPr>
                <w:rFonts w:cs="Arial"/>
                <w:szCs w:val="22"/>
              </w:rPr>
            </w:pPr>
          </w:p>
        </w:tc>
        <w:tc>
          <w:tcPr>
            <w:tcW w:w="1168" w:type="pct"/>
          </w:tcPr>
          <w:p w:rsidR="00164794" w:rsidRDefault="00164794" w:rsidP="009F65B3">
            <w:pPr>
              <w:jc w:val="center"/>
              <w:rPr>
                <w:rFonts w:cs="Arial"/>
                <w:szCs w:val="22"/>
              </w:rPr>
            </w:pPr>
          </w:p>
        </w:tc>
        <w:tc>
          <w:tcPr>
            <w:tcW w:w="1584" w:type="pct"/>
          </w:tcPr>
          <w:p w:rsidR="00164794" w:rsidRDefault="00164794" w:rsidP="009F65B3">
            <w:pPr>
              <w:jc w:val="center"/>
              <w:rPr>
                <w:rFonts w:cs="Arial"/>
                <w:szCs w:val="22"/>
              </w:rPr>
            </w:pP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w:t>
            </w:r>
          </w:p>
        </w:tc>
        <w:tc>
          <w:tcPr>
            <w:tcW w:w="994" w:type="pct"/>
            <w:hideMark/>
          </w:tcPr>
          <w:p w:rsidR="00164794" w:rsidRDefault="00164794" w:rsidP="009F65B3">
            <w:pPr>
              <w:jc w:val="center"/>
              <w:rPr>
                <w:rFonts w:cs="Arial"/>
                <w:szCs w:val="22"/>
              </w:rPr>
            </w:pPr>
            <w:r>
              <w:rPr>
                <w:rFonts w:cs="Arial"/>
                <w:szCs w:val="22"/>
              </w:rPr>
              <w:t>1.92</w:t>
            </w:r>
          </w:p>
        </w:tc>
        <w:tc>
          <w:tcPr>
            <w:tcW w:w="1168" w:type="pct"/>
            <w:hideMark/>
          </w:tcPr>
          <w:p w:rsidR="00164794" w:rsidRDefault="00164794" w:rsidP="009F65B3">
            <w:pPr>
              <w:jc w:val="center"/>
              <w:rPr>
                <w:rFonts w:cs="Arial"/>
                <w:szCs w:val="22"/>
              </w:rPr>
            </w:pPr>
            <w:r>
              <w:rPr>
                <w:rFonts w:cs="Arial"/>
                <w:szCs w:val="22"/>
              </w:rPr>
              <w:t>1.76</w:t>
            </w:r>
          </w:p>
        </w:tc>
        <w:tc>
          <w:tcPr>
            <w:tcW w:w="1584" w:type="pct"/>
            <w:hideMark/>
          </w:tcPr>
          <w:p w:rsidR="00164794" w:rsidRDefault="00164794" w:rsidP="009F65B3">
            <w:pPr>
              <w:jc w:val="center"/>
              <w:rPr>
                <w:rFonts w:cs="Arial"/>
                <w:szCs w:val="22"/>
              </w:rPr>
            </w:pPr>
            <w:r>
              <w:rPr>
                <w:rFonts w:cs="Arial"/>
                <w:szCs w:val="22"/>
              </w:rPr>
              <w:t>0.421</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MI2-5</w:t>
            </w:r>
          </w:p>
        </w:tc>
        <w:tc>
          <w:tcPr>
            <w:tcW w:w="994" w:type="pct"/>
            <w:hideMark/>
          </w:tcPr>
          <w:p w:rsidR="00164794" w:rsidRDefault="00164794" w:rsidP="009F65B3">
            <w:pPr>
              <w:jc w:val="center"/>
              <w:rPr>
                <w:rFonts w:cs="Arial"/>
                <w:szCs w:val="22"/>
              </w:rPr>
            </w:pPr>
            <w:r>
              <w:rPr>
                <w:rFonts w:cs="Arial"/>
                <w:szCs w:val="22"/>
              </w:rPr>
              <w:t>2.00</w:t>
            </w:r>
          </w:p>
        </w:tc>
        <w:tc>
          <w:tcPr>
            <w:tcW w:w="1168" w:type="pct"/>
            <w:hideMark/>
          </w:tcPr>
          <w:p w:rsidR="00164794" w:rsidRDefault="00164794" w:rsidP="009F65B3">
            <w:pPr>
              <w:jc w:val="center"/>
              <w:rPr>
                <w:rFonts w:cs="Arial"/>
                <w:szCs w:val="22"/>
              </w:rPr>
            </w:pPr>
            <w:r>
              <w:rPr>
                <w:rFonts w:cs="Arial"/>
                <w:szCs w:val="22"/>
              </w:rPr>
              <w:t>2.17</w:t>
            </w:r>
          </w:p>
        </w:tc>
        <w:tc>
          <w:tcPr>
            <w:tcW w:w="1584" w:type="pct"/>
            <w:hideMark/>
          </w:tcPr>
          <w:p w:rsidR="00164794" w:rsidRDefault="00164794" w:rsidP="009F65B3">
            <w:pPr>
              <w:jc w:val="center"/>
              <w:rPr>
                <w:rFonts w:cs="Arial"/>
                <w:szCs w:val="22"/>
              </w:rPr>
            </w:pPr>
            <w:r>
              <w:rPr>
                <w:rFonts w:cs="Arial"/>
                <w:szCs w:val="22"/>
              </w:rPr>
              <w:t>0.166</w:t>
            </w:r>
          </w:p>
        </w:tc>
      </w:tr>
      <w:tr w:rsidR="00164794" w:rsidTr="009F65B3">
        <w:trPr>
          <w:trHeight w:val="232"/>
        </w:trPr>
        <w:tc>
          <w:tcPr>
            <w:tcW w:w="695" w:type="pct"/>
          </w:tcPr>
          <w:p w:rsidR="00164794" w:rsidRDefault="00164794" w:rsidP="009F65B3">
            <w:pPr>
              <w:rPr>
                <w:rFonts w:cs="Arial"/>
                <w:szCs w:val="22"/>
              </w:rPr>
            </w:pPr>
          </w:p>
        </w:tc>
        <w:tc>
          <w:tcPr>
            <w:tcW w:w="559" w:type="pct"/>
            <w:hideMark/>
          </w:tcPr>
          <w:p w:rsidR="00164794" w:rsidRDefault="00164794" w:rsidP="009F65B3">
            <w:pPr>
              <w:rPr>
                <w:rFonts w:cs="Arial"/>
                <w:szCs w:val="22"/>
              </w:rPr>
            </w:pPr>
            <w:r>
              <w:rPr>
                <w:rFonts w:cs="Arial"/>
                <w:szCs w:val="22"/>
              </w:rPr>
              <w:t>PPI</w:t>
            </w:r>
          </w:p>
        </w:tc>
        <w:tc>
          <w:tcPr>
            <w:tcW w:w="994" w:type="pct"/>
            <w:hideMark/>
          </w:tcPr>
          <w:p w:rsidR="00164794" w:rsidRDefault="00164794" w:rsidP="009F65B3">
            <w:pPr>
              <w:jc w:val="center"/>
              <w:rPr>
                <w:rFonts w:cs="Arial"/>
                <w:szCs w:val="22"/>
              </w:rPr>
            </w:pPr>
            <w:r>
              <w:rPr>
                <w:rFonts w:cs="Arial"/>
                <w:szCs w:val="22"/>
              </w:rPr>
              <w:t>2.73</w:t>
            </w:r>
          </w:p>
        </w:tc>
        <w:tc>
          <w:tcPr>
            <w:tcW w:w="1168" w:type="pct"/>
            <w:hideMark/>
          </w:tcPr>
          <w:p w:rsidR="00164794" w:rsidRDefault="00164794" w:rsidP="009F65B3">
            <w:pPr>
              <w:jc w:val="center"/>
              <w:rPr>
                <w:rFonts w:cs="Arial"/>
                <w:szCs w:val="22"/>
              </w:rPr>
            </w:pPr>
            <w:r>
              <w:rPr>
                <w:rFonts w:cs="Arial"/>
                <w:szCs w:val="22"/>
              </w:rPr>
              <w:t>3.23</w:t>
            </w:r>
          </w:p>
        </w:tc>
        <w:tc>
          <w:tcPr>
            <w:tcW w:w="1584" w:type="pct"/>
            <w:hideMark/>
          </w:tcPr>
          <w:p w:rsidR="00164794" w:rsidRDefault="00164794" w:rsidP="009F65B3">
            <w:pPr>
              <w:jc w:val="center"/>
              <w:rPr>
                <w:rFonts w:cs="Arial"/>
                <w:szCs w:val="22"/>
              </w:rPr>
            </w:pPr>
            <w:r>
              <w:rPr>
                <w:rFonts w:cs="Arial"/>
                <w:szCs w:val="22"/>
              </w:rPr>
              <w:t>0.138</w:t>
            </w:r>
          </w:p>
        </w:tc>
      </w:tr>
      <w:tr w:rsidR="00164794" w:rsidTr="009F65B3">
        <w:trPr>
          <w:trHeight w:val="232"/>
        </w:trPr>
        <w:tc>
          <w:tcPr>
            <w:tcW w:w="695" w:type="pct"/>
            <w:tcBorders>
              <w:top w:val="nil"/>
              <w:left w:val="nil"/>
              <w:bottom w:val="single" w:sz="4" w:space="0" w:color="auto"/>
              <w:right w:val="nil"/>
            </w:tcBorders>
          </w:tcPr>
          <w:p w:rsidR="00164794" w:rsidRDefault="00164794" w:rsidP="009F65B3">
            <w:pPr>
              <w:rPr>
                <w:rFonts w:cs="Arial"/>
                <w:szCs w:val="22"/>
              </w:rPr>
            </w:pPr>
          </w:p>
        </w:tc>
        <w:tc>
          <w:tcPr>
            <w:tcW w:w="559" w:type="pct"/>
            <w:tcBorders>
              <w:top w:val="nil"/>
              <w:left w:val="nil"/>
              <w:bottom w:val="single" w:sz="4" w:space="0" w:color="auto"/>
              <w:right w:val="nil"/>
            </w:tcBorders>
            <w:hideMark/>
          </w:tcPr>
          <w:p w:rsidR="00164794" w:rsidRDefault="00164794" w:rsidP="009F65B3">
            <w:pPr>
              <w:rPr>
                <w:rFonts w:cs="Arial"/>
                <w:szCs w:val="22"/>
              </w:rPr>
            </w:pPr>
            <w:proofErr w:type="spellStart"/>
            <w:r>
              <w:rPr>
                <w:rFonts w:cs="Arial"/>
                <w:szCs w:val="22"/>
              </w:rPr>
              <w:t>SigMI</w:t>
            </w:r>
            <w:proofErr w:type="spellEnd"/>
          </w:p>
        </w:tc>
        <w:tc>
          <w:tcPr>
            <w:tcW w:w="994" w:type="pct"/>
            <w:tcBorders>
              <w:top w:val="nil"/>
              <w:left w:val="nil"/>
              <w:bottom w:val="single" w:sz="4" w:space="0" w:color="auto"/>
              <w:right w:val="nil"/>
            </w:tcBorders>
            <w:hideMark/>
          </w:tcPr>
          <w:p w:rsidR="00164794" w:rsidRDefault="00164794" w:rsidP="009F65B3">
            <w:pPr>
              <w:jc w:val="center"/>
              <w:rPr>
                <w:rFonts w:cs="Arial"/>
                <w:szCs w:val="22"/>
              </w:rPr>
            </w:pPr>
            <w:r>
              <w:rPr>
                <w:rFonts w:cs="Arial"/>
                <w:szCs w:val="22"/>
              </w:rPr>
              <w:t>2.42</w:t>
            </w:r>
          </w:p>
        </w:tc>
        <w:tc>
          <w:tcPr>
            <w:tcW w:w="1168" w:type="pct"/>
            <w:tcBorders>
              <w:top w:val="nil"/>
              <w:left w:val="nil"/>
              <w:bottom w:val="single" w:sz="4" w:space="0" w:color="auto"/>
              <w:right w:val="nil"/>
            </w:tcBorders>
            <w:hideMark/>
          </w:tcPr>
          <w:p w:rsidR="00164794" w:rsidRDefault="00164794" w:rsidP="009F65B3">
            <w:pPr>
              <w:jc w:val="center"/>
              <w:rPr>
                <w:rFonts w:cs="Arial"/>
                <w:szCs w:val="22"/>
              </w:rPr>
            </w:pPr>
            <w:r>
              <w:rPr>
                <w:rFonts w:cs="Arial"/>
                <w:szCs w:val="22"/>
              </w:rPr>
              <w:t>1.95</w:t>
            </w:r>
          </w:p>
        </w:tc>
        <w:tc>
          <w:tcPr>
            <w:tcW w:w="1584" w:type="pct"/>
            <w:tcBorders>
              <w:top w:val="nil"/>
              <w:left w:val="nil"/>
              <w:bottom w:val="single" w:sz="4" w:space="0" w:color="auto"/>
              <w:right w:val="nil"/>
            </w:tcBorders>
            <w:hideMark/>
          </w:tcPr>
          <w:p w:rsidR="00164794" w:rsidRDefault="00164794" w:rsidP="009F65B3">
            <w:pPr>
              <w:jc w:val="center"/>
              <w:rPr>
                <w:rFonts w:cs="Arial"/>
                <w:szCs w:val="22"/>
              </w:rPr>
            </w:pPr>
            <w:r>
              <w:rPr>
                <w:rFonts w:cs="Arial"/>
                <w:szCs w:val="22"/>
              </w:rPr>
              <w:t>0.025</w:t>
            </w:r>
          </w:p>
        </w:tc>
      </w:tr>
    </w:tbl>
    <w:p w:rsidR="00164794" w:rsidRDefault="00164794" w:rsidP="00164794">
      <w:pPr>
        <w:jc w:val="both"/>
        <w:rPr>
          <w:rFonts w:cs="Arial"/>
        </w:rPr>
      </w:pPr>
    </w:p>
    <w:p w:rsidR="00164794" w:rsidRDefault="00164794" w:rsidP="00164794">
      <w:pPr>
        <w:rPr>
          <w:rFonts w:cs="Arial"/>
          <w:b/>
        </w:rPr>
      </w:pPr>
    </w:p>
    <w:p w:rsidR="00164794" w:rsidRDefault="00164794" w:rsidP="00164794">
      <w:pPr>
        <w:pStyle w:val="Heading3"/>
        <w:ind w:left="0" w:firstLine="0"/>
      </w:pPr>
      <w:bookmarkStart w:id="30" w:name="_Toc515103955"/>
      <w:r>
        <w:t>Beta Diversity</w:t>
      </w:r>
      <w:bookmarkEnd w:id="30"/>
      <w:r>
        <w:t xml:space="preserv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NMDS ordinations on Jaccard binary distance matrices for the two sampling periods, although similar, showed no difference in community composition across the different treatment levels (Figure 3). Hypothesis testing using the </w:t>
      </w:r>
      <w:proofErr w:type="spellStart"/>
      <w:proofErr w:type="gramStart"/>
      <w:r w:rsidRPr="0023180E">
        <w:rPr>
          <w:rFonts w:ascii="Arial" w:hAnsi="Arial" w:cs="Arial"/>
          <w:i/>
          <w:sz w:val="22"/>
        </w:rPr>
        <w:t>summary.manyglm</w:t>
      </w:r>
      <w:proofErr w:type="spellEnd"/>
      <w:proofErr w:type="gramEnd"/>
      <w:r w:rsidRPr="0023180E">
        <w:rPr>
          <w:rFonts w:ascii="Arial" w:hAnsi="Arial" w:cs="Arial"/>
          <w:sz w:val="22"/>
        </w:rPr>
        <w:t xml:space="preserve"> in the r package </w:t>
      </w:r>
      <w:proofErr w:type="spellStart"/>
      <w:r w:rsidRPr="0023180E">
        <w:rPr>
          <w:rFonts w:ascii="Arial" w:hAnsi="Arial" w:cs="Arial"/>
          <w:i/>
          <w:sz w:val="22"/>
        </w:rPr>
        <w:t>mvabund</w:t>
      </w:r>
      <w:proofErr w:type="spellEnd"/>
      <w:r w:rsidRPr="0023180E">
        <w:rPr>
          <w:rFonts w:ascii="Arial" w:hAnsi="Arial" w:cs="Arial"/>
          <w:sz w:val="22"/>
        </w:rPr>
        <w:t xml:space="preserve"> showed </w:t>
      </w:r>
      <w:r w:rsidRPr="0023180E">
        <w:rPr>
          <w:rFonts w:ascii="Arial" w:hAnsi="Arial" w:cs="Arial"/>
          <w:sz w:val="22"/>
        </w:rPr>
        <w:lastRenderedPageBreak/>
        <w:t>that treatments had no significant effect on the community composition of the top 0-5 cm profile in both 2016 and 2017. The c-p triangle showed a slight increase in stability of some communities in the period between the two years. Surprisingly, some of these plots were ones that actually received disturbance treatments such as traffic and tillage.</w:t>
      </w:r>
    </w:p>
    <w:p w:rsidR="00164794" w:rsidRDefault="00164794" w:rsidP="00164794">
      <w:pPr>
        <w:spacing w:after="120" w:line="360" w:lineRule="auto"/>
        <w:rPr>
          <w:rFonts w:cs="Arial"/>
          <w:sz w:val="22"/>
        </w:rPr>
      </w:pPr>
    </w:p>
    <w:p w:rsidR="00164794" w:rsidRPr="002D79B5" w:rsidRDefault="00164794" w:rsidP="00164794">
      <w:pPr>
        <w:spacing w:after="120" w:line="360" w:lineRule="auto"/>
        <w:rPr>
          <w:rFonts w:cs="Arial"/>
          <w:sz w:val="22"/>
        </w:rPr>
      </w:pPr>
    </w:p>
    <w:p w:rsidR="00164794" w:rsidRDefault="00164794" w:rsidP="00164794">
      <w:pPr>
        <w:widowControl w:val="0"/>
        <w:autoSpaceDE w:val="0"/>
        <w:autoSpaceDN w:val="0"/>
        <w:adjustRightInd w:val="0"/>
        <w:rPr>
          <w:rFonts w:cs="Arial"/>
        </w:rPr>
      </w:pPr>
      <w:r>
        <w:rPr>
          <w:rFonts w:cs="Arial"/>
          <w:noProof/>
          <w:lang w:eastAsia="en-GB"/>
        </w:rPr>
        <w:drawing>
          <wp:inline distT="0" distB="0" distL="0" distR="0" wp14:anchorId="0F51714C" wp14:editId="42741F24">
            <wp:extent cx="5686425" cy="4267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4267200"/>
                    </a:xfrm>
                    <a:prstGeom prst="rect">
                      <a:avLst/>
                    </a:prstGeom>
                    <a:noFill/>
                    <a:ln>
                      <a:noFill/>
                    </a:ln>
                  </pic:spPr>
                </pic:pic>
              </a:graphicData>
            </a:graphic>
          </wp:inline>
        </w:drawing>
      </w:r>
    </w:p>
    <w:p w:rsidR="00164794" w:rsidRDefault="00164794" w:rsidP="00164794">
      <w:pPr>
        <w:pStyle w:val="Caption"/>
        <w:rPr>
          <w:rFonts w:cs="Arial"/>
          <w:sz w:val="22"/>
        </w:rPr>
      </w:pPr>
      <w:bookmarkStart w:id="31" w:name="_Toc515364022"/>
      <w:r>
        <w:rPr>
          <w:rFonts w:cs="Arial"/>
          <w:sz w:val="22"/>
        </w:rPr>
        <w:t xml:space="preserve">Figure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r>
        <w:rPr>
          <w:rFonts w:cs="Arial"/>
          <w:sz w:val="22"/>
        </w:rPr>
        <w:t>.</w:t>
      </w:r>
      <w:r>
        <w:rPr>
          <w:rFonts w:cs="Arial"/>
          <w:sz w:val="22"/>
        </w:rPr>
        <w:fldChar w:fldCharType="begin"/>
      </w:r>
      <w:r>
        <w:rPr>
          <w:rFonts w:cs="Arial"/>
          <w:sz w:val="22"/>
        </w:rPr>
        <w:instrText xml:space="preserve"> SEQ Figure \* ARABIC \s 1 </w:instrText>
      </w:r>
      <w:r>
        <w:rPr>
          <w:rFonts w:cs="Arial"/>
          <w:sz w:val="22"/>
        </w:rPr>
        <w:fldChar w:fldCharType="separate"/>
      </w:r>
      <w:r>
        <w:rPr>
          <w:rFonts w:cs="Arial"/>
          <w:noProof/>
          <w:sz w:val="22"/>
        </w:rPr>
        <w:t>5</w:t>
      </w:r>
      <w:r>
        <w:rPr>
          <w:rFonts w:cs="Arial"/>
          <w:sz w:val="22"/>
        </w:rPr>
        <w:fldChar w:fldCharType="end"/>
      </w:r>
      <w:r>
        <w:rPr>
          <w:rFonts w:cs="Arial"/>
          <w:sz w:val="22"/>
        </w:rPr>
        <w:t>. Graphical representation of the change in nematode communities in an interval of one year using c-p triangles. Each marker represents one of 36 samples collected within the top 0-5 cm depth in the years, 2016 and 2017. Samples within the same treatment categories have identical marker shapes. A and B depict the status of the communities based on presence-absence data for the 2016 and 2017 samples, respectively. C and D depict the statuses of the communities based on unrarefied data for the 2016 and 2017 approaches, respectively.</w:t>
      </w:r>
      <w:bookmarkEnd w:id="31"/>
    </w:p>
    <w:p w:rsidR="00164794" w:rsidRDefault="00164794" w:rsidP="00164794"/>
    <w:p w:rsidR="00164794" w:rsidRDefault="00164794" w:rsidP="00164794"/>
    <w:p w:rsidR="00164794" w:rsidRDefault="00164794" w:rsidP="00164794"/>
    <w:p w:rsidR="00164794" w:rsidRDefault="00164794" w:rsidP="00164794"/>
    <w:p w:rsidR="00164794" w:rsidRDefault="00164794" w:rsidP="00164794"/>
    <w:p w:rsidR="00164794" w:rsidRDefault="00164794" w:rsidP="00164794"/>
    <w:p w:rsidR="00164794" w:rsidRDefault="00164794" w:rsidP="00164794"/>
    <w:p w:rsidR="00164794" w:rsidRDefault="00164794" w:rsidP="00164794">
      <w:pPr>
        <w:pStyle w:val="Heading1"/>
      </w:pPr>
      <w:bookmarkStart w:id="32" w:name="_Toc515103956"/>
      <w:r>
        <w:lastRenderedPageBreak/>
        <w:t>Discussion</w:t>
      </w:r>
      <w:bookmarkEnd w:id="32"/>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results of this study demonstrate the possibility of determining the condition of a soil using metabarcoding of nematode communities in the soil. This was true for rarefied, unrarefied and to some extent the binary community data. It also shows that metabarcoding data can be expected to provide a reliable representation of the difference in community composition between treatments, times or possibly localities. Correlation between the morphological data and the binary-transformed metabarcoding data was highly significant with the correlations coefficient </w:t>
      </w:r>
      <w:r w:rsidRPr="0023180E">
        <w:rPr>
          <w:rFonts w:ascii="Arial" w:hAnsi="Arial" w:cs="Arial"/>
          <w:i/>
          <w:sz w:val="22"/>
        </w:rPr>
        <w:t>r</w:t>
      </w:r>
      <w:r w:rsidRPr="0023180E">
        <w:rPr>
          <w:rFonts w:ascii="Arial" w:hAnsi="Arial" w:cs="Arial"/>
          <w:sz w:val="22"/>
        </w:rPr>
        <w:t xml:space="preserve">, based on </w:t>
      </w:r>
      <w:r w:rsidRPr="0023180E">
        <w:rPr>
          <w:rFonts w:ascii="Arial" w:hAnsi="Arial" w:cs="Arial"/>
          <w:i/>
          <w:sz w:val="22"/>
        </w:rPr>
        <w:t>Mantel</w:t>
      </w:r>
      <w:r w:rsidRPr="0023180E">
        <w:rPr>
          <w:rFonts w:ascii="Arial" w:hAnsi="Arial" w:cs="Arial"/>
          <w:sz w:val="22"/>
        </w:rPr>
        <w:t xml:space="preserve"> and </w:t>
      </w:r>
      <w:r w:rsidRPr="0023180E">
        <w:rPr>
          <w:rFonts w:ascii="Arial" w:hAnsi="Arial" w:cs="Arial"/>
          <w:i/>
          <w:sz w:val="22"/>
        </w:rPr>
        <w:t>Procrustes</w:t>
      </w:r>
      <w:r w:rsidRPr="0023180E">
        <w:rPr>
          <w:rFonts w:ascii="Arial" w:hAnsi="Arial" w:cs="Arial"/>
          <w:sz w:val="22"/>
        </w:rPr>
        <w:t xml:space="preserve"> tests showing low and medium effect sizes, respectively.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standard morphological data set produced a much higher diversity in terms of the number of unique taxa recovered than the metabarcoding data set did. The opposite would have been the case had diversity for the latter been based on the number of unique otus as is often done with metabarcoding data </w:t>
      </w:r>
      <w:r w:rsidRPr="0023180E">
        <w:rPr>
          <w:rFonts w:ascii="Arial" w:hAnsi="Arial" w:cs="Arial"/>
          <w:sz w:val="22"/>
        </w:rPr>
        <w:fldChar w:fldCharType="begin" w:fldLock="1"/>
      </w:r>
      <w:r w:rsidRPr="0023180E">
        <w:rPr>
          <w:rFonts w:ascii="Arial" w:hAnsi="Arial" w:cs="Arial"/>
          <w:sz w:val="22"/>
        </w:rPr>
        <w:instrText>ADDIN CSL_CITATION {"citationItems":[{"id":"ITEM-1","itemData":{"ISSN":"1461-0248","author":[{"dropping-particle":"","family":"Ji","given":"Yinqiu","non-dropping-particle":"","parse-names":false,"suffix":""},{"dropping-particle":"","family":"Ashton","given":"Louise","non-dropping-particle":"","parse-names":false,"suffix":""},{"dropping-particle":"","family":"Pedley","given":"Scott M","non-dropping-particle":"","parse-names":false,"suffix":""},{"dropping-particle":"","family":"Edwards","given":"David P","non-dropping-particle":"","parse-names":false,"suffix":""},{"dropping-particle":"","family":"Tang","given":"Yong","non-dropping-particle":"","parse-names":false,"suffix":""},{"dropping-particle":"","family":"Nakamura","given":"Akihiro","non-dropping-particle":"","parse-names":false,"suffix":""},{"dropping-particle":"","family":"Kitching","given":"Roger","non-dropping-particle":"","parse-names":false,"suffix":""},{"dropping-particle":"","family":"Dolman","given":"Paul M","non-dropping-particle":"","parse-names":false,"suffix":""},{"dropping-particle":"","family":"Woodcock","given":"Paul","non-dropping-particle":"","parse-names":false,"suffix":""},{"dropping-particle":"","family":"Edwards","given":"Felicity A","non-dropping-particle":"","parse-names":false,"suffix":""}],"container-title":"Ecology letters","id":"ITEM-1","issue":"10","issued":{"date-parts":[["2013"]]},"page":"1245-1257","publisher":"Wiley Online Library","title":"Reliable, verifiable and efficient monitoring of biodiversity via metabarcoding","type":"article-journal","volume":"16"},"uris":["http://www.mendeley.com/documents/?uuid=06935a79-c154-4d16-99f9-cc6c36ac98de"]}],"mendeley":{"formattedCitation":"(Ji et al., 2013)","manualFormatting":"(Ji et al., 2013)","plainTextFormattedCitation":"(Ji et al., 2013)","previouslyFormattedCitation":"(Ji et al., 2013)"},"properties":{"noteIndex":0},"schema":"https://github.com/citation-style-language/schema/raw/master/csl-citation.json"}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(Ji et al., 2013)</w:t>
      </w:r>
      <w:r w:rsidRPr="0023180E">
        <w:rPr>
          <w:rFonts w:ascii="Arial" w:hAnsi="Arial" w:cs="Arial"/>
          <w:sz w:val="22"/>
        </w:rPr>
        <w:fldChar w:fldCharType="end"/>
      </w:r>
      <w:r w:rsidRPr="0023180E">
        <w:rPr>
          <w:rFonts w:ascii="Arial" w:hAnsi="Arial" w:cs="Arial"/>
          <w:sz w:val="22"/>
        </w:rPr>
        <w:t xml:space="preserve">. It was necessary to utilize the taxonomic identities of the otus in this study in order to correctly assess how the two data sets describe disturbance conditions in the nematode communities. The relatively low taxonomic coverage of the metabarcoding data set concurred with some previous studies that showed that metabarcoding is not always able to detect all resident taxa in samples </w:t>
      </w:r>
      <w:r w:rsidRPr="0023180E">
        <w:rPr>
          <w:rFonts w:ascii="Arial" w:hAnsi="Arial" w:cs="Arial"/>
          <w:sz w:val="22"/>
        </w:rPr>
        <w:fldChar w:fldCharType="begin" w:fldLock="1"/>
      </w:r>
      <w:r w:rsidRPr="0023180E">
        <w:rPr>
          <w:rFonts w:ascii="Arial" w:hAnsi="Arial" w:cs="Arial"/>
          <w:sz w:val="22"/>
        </w:rPr>
        <w:instrText>ADDIN CSL_CITATION {"citationItems":[{"id":"ITEM-1","itemData":{"ISSN":"1932-6203","author":[{"dropping-particle":"","family":"Cowart","given":"Dominique A","non-dropping-particle":"","parse-names":false,"suffix":""},{"dropping-particle":"","family":"Pinheiro","given":"Miguel","non-dropping-particle":"","parse-names":false,"suffix":""},{"dropping-particle":"","family":"Mouchel","given":"Olivier","non-dropping-particle":"","parse-names":false,"suffix":""},{"dropping-particle":"","family":"Maguer","given":"Marion","non-dropping-particle":"","parse-names":false,"suffix":""},{"dropping-particle":"","family":"Grall","given":"Jacques","non-dropping-particle":"","parse-names":false,"suffix":""},{"dropping-particle":"","family":"Miné","given":"Jacques","non-dropping-particle":"","parse-names":false,"suffix":""},{"dropping-particle":"","family":"Arnaud-Haond","given":"Sophie","non-dropping-particle":"","parse-names":false,"suffix":""}],"container-title":"PLoS One","id":"ITEM-1","issue":"2","issued":{"date-parts":[["2015"]]},"page":"e0117562","publisher":"Public Library of Science","title":"Metabarcoding is powerful yet still blind: a comparative analysis of morphological and molecular surveys of seagrass communities","type":"article-journal","volume":"10"},"uris":["http://www.mendeley.com/documents/?uuid=31b8b4b0-d35e-433b-a117-6da2bb08b291"]},{"id":"ITEM-2","itemData":{"ISSN":"1755-0998","author":[{"dropping-particle":"","family":"Zimmermann","given":"Jonas","non-dropping-particle":"","parse-names":false,"suffix":""},{"dropping-particle":"","family":"Glöckner","given":"Gernot","non-dropping-particle":"","parse-names":false,"suffix":""},{"dropping-particle":"","family":"Jahn","given":"Regine","non-dropping-particle":"","parse-names":false,"suffix":""},{"dropping-particle":"","family":"Enke","given":"Neela","non-dropping-particle":"","parse-names":false,"suffix":""},{"dropping-particle":"","family":"Gemeinholzer","given":"Birgit","non-dropping-particle":"","parse-names":false,"suffix":""}],"container-title":"Molecular Ecology Resources","id":"ITEM-2","issue":"3","issued":{"date-parts":[["2015"]]},"page":"526-542","publisher":"Wiley Online Library","title":"Metabarcoding vs. morphological identification to assess diatom diversity in environmental studies","type":"article-journal","volume":"15"},"uris":["http://www.mendeley.com/documents/?uuid=0d5c8af1-e3ba-47b6-ae80-7c0ad0c1c297"]}],"mendeley":{"formattedCitation":"(Cowart et al., 2015; Zimmermann et al., 2015)","plainTextFormattedCitation":"(Cowart et al., 2015; Zimmermann et al., 2015)","previouslyFormattedCitation":"(Cowart et al., 2015; Zimmermann et al.,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(Cowart et al., 2015; Zimmermann et al., 2015)</w:t>
      </w:r>
      <w:r w:rsidRPr="0023180E">
        <w:rPr>
          <w:rFonts w:ascii="Arial" w:hAnsi="Arial" w:cs="Arial"/>
          <w:sz w:val="22"/>
        </w:rPr>
        <w:fldChar w:fldCharType="end"/>
      </w:r>
      <w:r w:rsidRPr="0023180E">
        <w:rPr>
          <w:rFonts w:ascii="Arial" w:hAnsi="Arial" w:cs="Arial"/>
          <w:sz w:val="22"/>
        </w:rPr>
        <w:t xml:space="preserve">. In </w:t>
      </w:r>
      <w:r w:rsidRPr="0023180E">
        <w:rPr>
          <w:rFonts w:ascii="Arial" w:hAnsi="Arial" w:cs="Arial"/>
          <w:sz w:val="22"/>
        </w:rPr>
        <w:fldChar w:fldCharType="begin" w:fldLock="1"/>
      </w:r>
      <w:r w:rsidRPr="0023180E">
        <w:rPr>
          <w:rFonts w:ascii="Arial" w:hAnsi="Arial" w:cs="Arial"/>
          <w:sz w:val="22"/>
        </w:rPr>
        <w:instrText>ADDIN CSL_CITATION {"citationItems":[{"id":"ITEM-1","itemData":{"ISSN":"1755-0998","author":[{"dropping-particle":"","family":"Zimmermann","given":"Jonas","non-dropping-particle":"","parse-names":false,"suffix":""},{"dropping-particle":"","family":"Glöckner","given":"Gernot","non-dropping-particle":"","parse-names":false,"suffix":""},{"dropping-particle":"","family":"Jahn","given":"Regine","non-dropping-particle":"","parse-names":false,"suffix":""},{"dropping-particle":"","family":"Enke","given":"Neela","non-dropping-particle":"","parse-names":false,"suffix":""},{"dropping-particle":"","family":"Gemeinholzer","given":"Birgit","non-dropping-particle":"","parse-names":false,"suffix":""}],"container-title":"Molecular Ecology Resources","id":"ITEM-1","issue":"3","issued":{"date-parts":[["2015"]]},"page":"526-542","publisher":"Wiley Online Library","title":"Metabarcoding vs. morphological identification to assess diatom diversity in environmental studies","type":"article-journal","volume":"15"},"uris":["http://www.mendeley.com/documents/?uuid=0d5c8af1-e3ba-47b6-ae80-7c0ad0c1c297"]}],"mendeley":{"formattedCitation":"(Zimmermann et al., 2015)","manualFormatting":"Zimmermann et al. (2015)","plainTextFormattedCitation":"(Zimmermann et al., 2015)","previouslyFormattedCitation":"(Zimmermann et al.,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Zimmermann et al. (2015)</w:t>
      </w:r>
      <w:r w:rsidRPr="0023180E">
        <w:rPr>
          <w:rFonts w:ascii="Arial" w:hAnsi="Arial" w:cs="Arial"/>
          <w:sz w:val="22"/>
        </w:rPr>
        <w:fldChar w:fldCharType="end"/>
      </w:r>
      <w:r w:rsidRPr="0023180E">
        <w:rPr>
          <w:rFonts w:ascii="Arial" w:hAnsi="Arial" w:cs="Arial"/>
          <w:sz w:val="22"/>
        </w:rPr>
        <w:t xml:space="preserve">, it was only at the genus level where fewer taxa were recovered by the metabarcoding method (28 versus 30). At the species level, over twice the number recovered by the standard approach were recovered by the metabarcoding method (265 versus 102). In </w:t>
      </w:r>
      <w:r w:rsidRPr="0023180E">
        <w:rPr>
          <w:rFonts w:ascii="Arial" w:hAnsi="Arial" w:cs="Arial"/>
          <w:sz w:val="22"/>
        </w:rPr>
        <w:fldChar w:fldCharType="begin" w:fldLock="1"/>
      </w:r>
      <w:r w:rsidRPr="0023180E">
        <w:rPr>
          <w:rFonts w:ascii="Arial" w:hAnsi="Arial" w:cs="Arial"/>
          <w:sz w:val="22"/>
        </w:rPr>
        <w:instrText>ADDIN CSL_CITATION {"citationItems":[{"id":"ITEM-1","itemData":{"ISSN":"1932-6203","author":[{"dropping-particle":"","family":"Cowart","given":"Dominique A","non-dropping-particle":"","parse-names":false,"suffix":""},{"dropping-particle":"","family":"Pinheiro","given":"Miguel","non-dropping-particle":"","parse-names":false,"suffix":""},{"dropping-particle":"","family":"Mouchel","given":"Olivier","non-dropping-particle":"","parse-names":false,"suffix":""},{"dropping-particle":"","family":"Maguer","given":"Marion","non-dropping-particle":"","parse-names":false,"suffix":""},{"dropping-particle":"","family":"Grall","given":"Jacques","non-dropping-particle":"","parse-names":false,"suffix":""},{"dropping-particle":"","family":"Miné","given":"Jacques","non-dropping-particle":"","parse-names":false,"suffix":""},{"dropping-particle":"","family":"Arnaud-Haond","given":"Sophie","non-dropping-particle":"","parse-names":false,"suffix":""}],"container-title":"PLoS One","id":"ITEM-1","issue":"2","issued":{"date-parts":[["2015"]]},"page":"e0117562","publisher":"Public Library of Science","title":"Metabarcoding is powerful yet still blind: a comparative analysis of morphological and molecular surveys of seagrass communities","type":"article-journal","volume":"10"},"uris":["http://www.mendeley.com/documents/?uuid=31b8b4b0-d35e-433b-a117-6da2bb08b291"]}],"mendeley":{"formattedCitation":"(Cowart et al., 2015)","manualFormatting":"Cowart et al. (2015)","plainTextFormattedCitation":"(Cowart et al., 2015)","previouslyFormattedCitation":"(Cowart et al.,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Cowart et al. (2015)</w:t>
      </w:r>
      <w:r w:rsidRPr="0023180E">
        <w:rPr>
          <w:rFonts w:ascii="Arial" w:hAnsi="Arial" w:cs="Arial"/>
          <w:sz w:val="22"/>
        </w:rPr>
        <w:fldChar w:fldCharType="end"/>
      </w:r>
      <w:r w:rsidRPr="0023180E">
        <w:rPr>
          <w:rFonts w:ascii="Arial" w:hAnsi="Arial" w:cs="Arial"/>
          <w:sz w:val="22"/>
        </w:rPr>
        <w:t>, the metabarcoding approach based on both the COI and 18 rDNA could only recover 36</w:t>
      </w:r>
      <w:r w:rsidR="009F65B3">
        <w:rPr>
          <w:rFonts w:ascii="Arial" w:hAnsi="Arial" w:cs="Arial"/>
          <w:sz w:val="22"/>
        </w:rPr>
        <w:t>%</w:t>
      </w:r>
      <w:r w:rsidRPr="0023180E">
        <w:rPr>
          <w:rFonts w:ascii="Arial" w:hAnsi="Arial" w:cs="Arial"/>
          <w:sz w:val="22"/>
        </w:rPr>
        <w:t xml:space="preserve"> of the morphologically-determined diversity. This may be for a number of reasons ranging from primer mismatch to dominant taxa leading to the masking of rare taxa from the data.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importance of nematode trophic groups to soil processes such as decomposition and primary production pathways has been well documented </w:t>
      </w:r>
      <w:r w:rsidRPr="0023180E">
        <w:rPr>
          <w:rFonts w:ascii="Arial" w:hAnsi="Arial" w:cs="Arial"/>
          <w:sz w:val="22"/>
        </w:rPr>
        <w:fldChar w:fldCharType="begin" w:fldLock="1"/>
      </w:r>
      <w:r w:rsidRPr="0023180E">
        <w:rPr>
          <w:rFonts w:ascii="Arial" w:hAnsi="Arial" w:cs="Arial"/>
          <w:sz w:val="22"/>
        </w:rPr>
        <w:instrText>ADDIN CSL_CITATION {"citationItems":[{"id":"ITEM-1","itemData":{"ISSN":"1557-7015","author":[{"dropping-particle":"","family":"Beare","given":"Michael H","non-dropping-particle":"","parse-names":false,"suffix":""},{"dropping-particle":"","family":"Parmelee","given":"Robert W","non-dropping-particle":"","parse-names":false,"suffix":""},{"dropping-particle":"","family":"Hendrix","given":"Paul F","non-dropping-particle":"","parse-names":false,"suffix":""},{"dropping-particle":"","family":"Cheng","given":"Weixin","non-dropping-particle":"","parse-names":false,"suffix":""},{"dropping-particle":"","family":"Coleman","given":"David C","non-dropping-particle":"","parse-names":false,"suffix":""},{"dropping-particle":"","family":"Crossley","given":"D A","non-dropping-particle":"","parse-names":false,"suffix":""}],"container-title":"Ecological Monographs","id":"ITEM-1","issue":"4","issued":{"date-parts":[["1992"]]},"page":"569-591","publisher":"Wiley Online Library","title":"Microbial and faunal interactions and effects on litter nitrogen and decomposition in agroecosystems","type":"article-journal","volume":"62"},"uris":["http://www.mendeley.com/documents/?uuid=8000fb54-14f0-4e92-ba08-4d21c1a93c7b"]},{"id":"ITEM-2","itemData":{"ISSN":"0030-1299","author":[{"dropping-particle":"","family":"Wardle","given":"D A","non-dropping-particle":"","parse-names":false,"suffix":""},{"dropping-particle":"","family":"Yeates","given":"G W","non-dropping-particle":"","parse-names":false,"suffix":""},{"dropping-particle":"","family":"Watson","given":"R N","non-dropping-particle":"","parse-names":false,"suffix":""},{"dropping-particle":"","family":"Nicholson","given":"K S","non-dropping-particle":"","parse-names":false,"suffix":""}],"container-title":"Oikos","id":"ITEM-2","issued":{"date-parts":[["1995"]]},"page":"155-166","publisher":"JSTOR","title":"Development of the decomposer food-web, trophic relationships, and ecosystem properties during a three-year primary succession in sawdust","type":"article-journal"},"uris":["http://www.mendeley.com/documents/?uuid=3d26bc6c-56ed-4d1a-8c50-cf848511ac09"]}],"mendeley":{"formattedCitation":"(Beare et al., 1992; Wardle et al., 1995)","plainTextFormattedCitation":"(Beare et al., 1992; Wardle et al., 1995)","previouslyFormattedCitation":"(Beare et al., 1992; Wardle et al., 1995)"},"properties":{"noteIndex":0},"schema":"https://github.com/citation-style-language/schema/raw/master/csl-citation.json"}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(Beare et al., 1992; Wardle et al., 1995)</w:t>
      </w:r>
      <w:r w:rsidRPr="0023180E">
        <w:rPr>
          <w:rFonts w:ascii="Arial" w:hAnsi="Arial" w:cs="Arial"/>
          <w:sz w:val="22"/>
        </w:rPr>
        <w:fldChar w:fldCharType="end"/>
      </w:r>
      <w:r w:rsidRPr="0023180E">
        <w:rPr>
          <w:rFonts w:ascii="Arial" w:hAnsi="Arial" w:cs="Arial"/>
          <w:sz w:val="22"/>
        </w:rPr>
        <w:t xml:space="preserve">. This study showed that metabarcoding data sets could depict how anthropogenic disturbances such as tillage affects their relative abundance in the soil based on the relative abundance of the various trophic groups. The similarity was strong, particularly for the dominant groups, herbivores and bacterivores. </w:t>
      </w:r>
      <w:r w:rsidRPr="0023180E">
        <w:rPr>
          <w:rFonts w:ascii="Arial" w:hAnsi="Arial" w:cs="Arial"/>
          <w:sz w:val="22"/>
        </w:rPr>
        <w:fldChar w:fldCharType="begin" w:fldLock="1"/>
      </w:r>
      <w:r w:rsidRPr="0023180E">
        <w:rPr>
          <w:rFonts w:ascii="Arial" w:hAnsi="Arial" w:cs="Arial"/>
          <w:sz w:val="22"/>
        </w:rPr>
        <w:instrText>ADDIN CSL_CITATION {"citationItems":[{"id":"ITEM-1","itemData":{"ISSN":"2045-2322","author":[{"dropping-particle":"","family":"Lejzerowicz","given":"Franck","non-dropping-particle":"","parse-names":false,"suffix":""},{"dropping-particle":"","family":"Esling","given":"Philippe","non-dropping-particle":"","parse-names":false,"suffix":""},{"dropping-particle":"","family":"Pillet","given":"Loïc","non-dropping-particle":"","parse-names":false,"suffix":""},{"dropping-particle":"","family":"Wilding","given":"Thomas A","non-dropping-particle":"","parse-names":false,"suffix":""},{"dropping-particle":"","family":"Black","given":"Kenneth D","non-dropping-particle":"","parse-names":false,"suffix":""},{"dropping-particle":"","family":"Pawlowski","given":"Jan","non-dropping-particle":"","parse-names":false,"suffix":""}],"container-title":"Scientific reports","id":"ITEM-1","issued":{"date-parts":[["2015"]]},"page":"13932","publisher":"Nature Publishing Group","title":"High-throughput sequencing and morphology perform equally well for benthic monitoring of marine ecosystems","type":"article-journal","volume":"5"},"uris":["http://www.mendeley.com/documents/?uuid=bee3eb30-7a06-43e4-9525-69efcd744113"]}],"mendeley":{"formattedCitation":"(Lejzerowicz et al., 2015)","manualFormatting":"Lejzerowicz et al. (2015)","plainTextFormattedCitation":"(Lejzerowicz et al., 2015)","previouslyFormattedCitation":"(Lejzerowicz et al.,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Lejzerowicz et al. (2015)</w:t>
      </w:r>
      <w:r w:rsidRPr="0023180E">
        <w:rPr>
          <w:rFonts w:ascii="Arial" w:hAnsi="Arial" w:cs="Arial"/>
          <w:sz w:val="22"/>
        </w:rPr>
        <w:fldChar w:fldCharType="end"/>
      </w:r>
      <w:r w:rsidRPr="0023180E">
        <w:rPr>
          <w:rFonts w:ascii="Arial" w:hAnsi="Arial" w:cs="Arial"/>
          <w:sz w:val="22"/>
        </w:rPr>
        <w:t>, in their comparison of morphological and metabarcoding-based assessment of metazoans in benthic environments, also observed such high congruence in the abundance of the dominant taxa.</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Sufficient molecular data exists that supports the phylogenetic origins of most of the current nematode classifications </w:t>
      </w:r>
      <w:r w:rsidRPr="0023180E">
        <w:rPr>
          <w:rFonts w:ascii="Arial" w:hAnsi="Arial" w:cs="Arial"/>
          <w:sz w:val="22"/>
        </w:rPr>
        <w:fldChar w:fldCharType="begin" w:fldLock="1"/>
      </w:r>
      <w:r w:rsidRPr="0023180E">
        <w:rPr>
          <w:rFonts w:ascii="Arial" w:hAnsi="Arial" w:cs="Arial"/>
          <w:sz w:val="22"/>
        </w:rPr>
        <w:instrText>ADDIN CSL_CITATION {"citationItems":[{"id":"ITEM-1","itemData":{"ISSN":"0028-0836","author":[{"dropping-particle":"","family":"Blaxter","given":"Mark L","non-dropping-particle":"","parse-names":false,"suffix":""},{"dropping-particle":"","family":"Ley","given":"Paul","non-dropping-particle":"De","parse-names":false,"suffix":""},{"dropping-particle":"","family":"Garey","given":"James R","non-dropping-particle":"","parse-names":false,"suffix":""},{"dropping-particle":"","family":"Liu","given":"Leo X","non-dropping-particle":"","parse-names":false,"suffix":""}],"container-title":"Nature","id":"ITEM-1","issue":"6671","issued":{"date-parts":[["1998"]]},"page":"71","publisher":"Nature Publishing Group","title":"A molecular evolutionary framework for the phylum Nematoda","type":"article-journal","volume":"392"},"uris":["http://www.mendeley.com/documents/?uuid=51f87c5c-8357-4642-ae12-cbcbb79d6309"]},{"id":"ITEM-2","itemData":{"ISSN":"0737-4038","author":[{"dropping-particle":"","family":"Holterman","given":"Martijn","non-dropping-particle":"","parse-names":false,"suffix":""},{"dropping-particle":"","family":"Wurff","given":"Andre","non-dropping-particle":"van der","parse-names":false,"suffix":""},{"dropping-particle":"","family":"Elsen","given":"Sven","non-dropping-particle":"van den","parse-names":false,"suffix":""},{"dropping-particle":"","family":"Megen","given":"Hanny","non-dropping-particle":"van","parse-names":false,"suffix":""},{"dropping-particle":"","family":"Bongers","given":"Tom","non-dropping-particle":"","parse-names":false,"suffix":""},{"dropping-particle":"","family":"Holovachov","given":"Oleksandr","non-dropping-particle":"","parse-names":false,"suffix":""},{"dropping-particle":"","family":"Bakker","given":"Jaap","non-dropping-particle":"","parse-names":false,"suffix":""},{"dropping-particle":"","family":"Helder","given":"Johannes","non-dropping-particle":"","parse-names":false,"suffix":""}],"container-title":"Molecular biology and evolution","id":"ITEM-2","issue":"9","issued":{"date-parts":[["2006"]]},"page":"1792-1800","publisher":"SMBE","title":"Phylum-wide analysis of SSU rDNA reveals deep phylogenetic relationships among nematodes and accelerated evolution toward crown clades","type":"article-journal","volume":"23"},"uris":["http://www.mendeley.com/documents/?uuid=d631d9a4-22d8-443e-9dfa-f1a116189d21"]},{"id":"ITEM-3","itemData":{"ISSN":"1568-5411","author":[{"dropping-particle":"","family":"Megen","given":"Hanny","non-dropping-particle":"van","parse-names":false,"suffix":""},{"dropping-particle":"","family":"Elsen","given":"Sven","non-dropping-particle":"van den","parse-names":false,"suffix":""},{"dropping-particle":"","family":"Holterman","given":"Martijn","non-dropping-particle":"","parse-names":false,"suffix":""},{"dropping-particle":"","family":"Karssen","given":"Gerrit","non-dropping-particle":"","parse-names":false,"suffix":""},{"dropping-particle":"","family":"Mooyman","given":"Paul","non-dropping-particle":"","parse-names":false,"suffix":""},{"dropping-particle":"","family":"Bongers","given":"Tom","non-dropping-particle":"","parse-names":false,"suffix":""},{"dropping-particle":"","family":"Holovachov","given":"Oleksandr","non-dropping-particle":"","parse-names":false,"suffix":""},{"dropping-particle":"","family":"Bakker","given":"Jaap","non-dropping-particle":"","parse-names":false,"suffix":""},{"dropping-particle":"","family":"Helder","given":"Johannes","non-dropping-particle":"","parse-names":false,"suffix":""}],"container-title":"Nematology","id":"ITEM-3","issue":"6","issued":{"date-parts":[["2009"]]},"page":"927-950","publisher":"Brill","title":"A phylogenetic tree of nematodes based on about 1200 full-length small subunit ribosomal DNA sequences","type":"article-journal","volume":"11"},"uris":["http://www.mendeley.com/documents/?uuid=36a09137-6aad-44bb-9340-ed9f5a57af71"]}],"mendeley":{"formattedCitation":"(Blaxter et al., 1998; Holterman et al., 2006; van Megen et al., 2009)","plainTextFormattedCitation":"(Blaxter et al., 1998; Holterman et al., 2006; van Megen et al., 2009)","previouslyFormattedCitation":"(Blaxter et al., 1998; Holterman et al., 2006; van Megen et al., 2009)"},"properties":{"noteIndex":0},"schema":"https://github.com/citation-style-language/schema/raw/master/csl-citation.json"}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lang w:val="de-DE"/>
        </w:rPr>
        <w:t>(Blaxter et al., 1998; Holterman et al., 2006; van Megen et al., 2009)</w:t>
      </w:r>
      <w:r w:rsidRPr="0023180E">
        <w:rPr>
          <w:rFonts w:ascii="Arial" w:hAnsi="Arial" w:cs="Arial"/>
          <w:sz w:val="22"/>
        </w:rPr>
        <w:fldChar w:fldCharType="end"/>
      </w:r>
      <w:r w:rsidRPr="0023180E">
        <w:rPr>
          <w:rFonts w:ascii="Arial" w:hAnsi="Arial" w:cs="Arial"/>
          <w:sz w:val="22"/>
          <w:lang w:val="de-DE"/>
        </w:rPr>
        <w:t xml:space="preserve">. </w:t>
      </w:r>
      <w:r w:rsidRPr="0023180E">
        <w:rPr>
          <w:rFonts w:ascii="Arial" w:hAnsi="Arial" w:cs="Arial"/>
          <w:sz w:val="22"/>
        </w:rPr>
        <w:t xml:space="preserve">The same studies have demonstrated that features such as herbivory may have arisen multiple times independently in the course of evolution. Similar evidence exists for at least </w:t>
      </w:r>
      <w:proofErr w:type="spellStart"/>
      <w:r w:rsidRPr="0023180E">
        <w:rPr>
          <w:rFonts w:ascii="Arial" w:hAnsi="Arial" w:cs="Arial"/>
          <w:sz w:val="22"/>
        </w:rPr>
        <w:lastRenderedPageBreak/>
        <w:t>fungivory</w:t>
      </w:r>
      <w:proofErr w:type="spellEnd"/>
      <w:r w:rsidRPr="0023180E">
        <w:rPr>
          <w:rFonts w:ascii="Arial" w:hAnsi="Arial" w:cs="Arial"/>
          <w:sz w:val="22"/>
        </w:rPr>
        <w:t xml:space="preserve"> and predation. One of the things these independent evolutions of feeding behaviour may point to is the discrepancies between trophic classification and taxonomic classification, at least based on the 18S rDNA region. This may therefore explain why metabarcoding data based on the same region was able to correctly quantify trophic groups even though most have shown the contrary for actual taxa in communities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{"citationItems":[{"id":"ITEM-1","itemData":{"author":[{"dropping-particle":"","family":"Edgar","given":"Robert C","non-dropping-particle":"","parse-names":false,"suffix":""}],"container-title":"bioRxiv","id":"ITEM-1","issued":{"date-parts":[["2017"]]},"page":"124149","publisher":"Cold Spring Harbor Labs Journals","title":"UNBIAS: An attempt to correct abundance bias in 16S sequencing, with limited success","type":"article-journal"},"uris":["http://www.mendeley.com/documents/?uuid=30fe995e-b92c-4b9a-82b1-bfbbb10a5da6"]},{"id":"ITEM-2","itemData":{"ISSN":"1365-294X","author":[{"dropping-particle":"","family":"Amend","given":"Anthony S","non-dropping-particle":"","parse-names":false,"suffix":""},{"dropping-particle":"","family":"Seifert","given":"Keith A","non-dropping-particle":"","parse-names":false,"suffix":""},{"dropping-particle":"","family":"Bruns","given":"Thomas D","non-dropping-particle":"","parse-names":false,"suffix":""}],"container-title":"Molecular ecology","id":"ITEM-2","issue":"24","issued":{"date-parts":[["2010"]]},"page":"5555-5565","publisher":"Wiley Online Library","title":"Quantifying microbial communities with 454 pyrosequencing: does read abundance count?","type":"article-journal","volume":"19"},"uris":["http://www.mendeley.com/documents/?uuid=c99bd515-c900-476a-b8dd-53c6ca8e179e"]},{"id":"ITEM-3","itemData":{"DOI":"10.1111/j.1755-0998.2009.02611.x","ISBN":"1755-0998","ISSN":"1755098X","PMID":"21564930","abstract":"Nematodes play an important role in ecosystem processes, yet the relevance of nematode species diversity to ecology is unknown. Because nematode identification of all individuals at the species level using standard techniques is difficult and time-consuming, nematode communities are not resolved down to the species level, leaving ecological analysis ambiguous. We assessed the suitability of massively parallel sequencing for analysis of nematode diversity from metagenomic samples. We set up four artificial metagenomic samples involving 41 diverse reference nematodes in known abundances. Two samples came from pooling polymerase chain reaction products amplified from single nematode species. Two additional metagenomic samples consisted of amplified products of DNA extracted from pooled nematode species. Amplified products involved two rapidly evolving ~400-bp sections coding for the small and large subunit of rRNA. The total number of reads ranged from 4159 to 14771 per metagenomic sample. Of these, 82% were &gt; 199 bp in length. Among the reads &gt; 199 bp, 86% matched the referenced species with less than three nucleotide differences from a reference sequence. Although neither rDNA section recovered all nematode species, the use of both loci improved the detection level of nematode species from 90 to 97%. Overall, results support the suitability of massively parallel sequencing for identification of nematodes. In contrast, the frequency of reads representing individual species did not correlate with the number of individuals in the metagenomic samples, suggesting that further methodological work is necessary before it will be justified for inferring the relative abundances of species within a nematode community.","author":[{"dropping-particle":"","family":"Porazinska","given":"Dorota L.","non-dropping-particle":"","parse-names":false,"suffix":""},{"dropping-particle":"","family":"Giblin-Davis","given":"Robin M.","non-dropping-particle":"","parse-names":false,"suffix":""},{"dropping-particle":"","family":"Faller","given":"Lina","non-dropping-particle":"","parse-names":false,"suffix":""},{"dropping-particle":"","family":"Farmerie","given":"William","non-dropping-particle":"","parse-names":false,"suffix":""},{"dropping-particle":"","family":"Kanzaki","given":"Natsumi","non-dropping-particle":"","parse-names":false,"suffix":""},{"dropping-particle":"","family":"Morris","given":"Krystalynne","non-dropping-particle":"","parse-names":false,"suffix":""},{"dropping-particle":"","family":"Powers","given":"Thomas O.","non-dropping-particle":"","parse-names":false,"suffix":""},{"dropping-particle":"","family":"Tucker","given":"Abraham E.","non-dropping-particle":"","parse-names":false,"suffix":""},{"dropping-particle":"","family":"Sung","given":"Way","non-dropping-particle":"","parse-names":false,"suffix":""},{"dropping-particle":"","family":"Thomas","given":"W. Kelley","non-dropping-particle":"","parse-names":false,"suffix":""}],"container-title":"Molecular Ecology Resources","id":"ITEM-3","issue":"6","issued":{"date-parts":[["2009"]]},"page":"1439-1450","title":"Evaluating high-throughput sequencing as a method for metagenomic analysis of nematode diversity","type":"article-journal","volume":"9"},"uris":["http://www.mendeley.com/documents/?uuid=cdf49d70-44ab-41a3-b2d3-10df20dcc465"]}],"mendeley":{"formattedCitation":"(Amend et al., 2010; Edgar, 2017; Porazinska et al., 2009)","plainTextFormattedCitation":"(Amend et al., 2010; Edgar, 2017; Porazinska et al., 2009)","previouslyFormattedCitation":"(Amend et al., 2010; Edgar, 2017; Porazinska et al., 2009)"},"properties":{"noteIndex":0},"schema":"https://github.com/citation-style-language/schema/raw/master/csl-citation.json"}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(Amend et al., 2010; Edgar, 2017; Porazinska et al., 2009)</w:t>
      </w:r>
      <w:r w:rsidRPr="0023180E">
        <w:rPr>
          <w:rFonts w:ascii="Arial" w:hAnsi="Arial" w:cs="Arial"/>
          <w:sz w:val="22"/>
        </w:rPr>
        <w:fldChar w:fldCharType="end"/>
      </w:r>
      <w:r w:rsidRPr="0023180E">
        <w:rPr>
          <w:rFonts w:ascii="Arial" w:hAnsi="Arial" w:cs="Arial"/>
          <w:sz w:val="22"/>
        </w:rPr>
        <w:t xml:space="preserv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Much like the trophic classification, the colonizer-persister groupings and functional guilds used to determine nematode indices do not depend on the phylogenetic positions of their constituent taxa, but rather the life history characteristics. And the same as it was for the trophic compositions, almost all indices obtained using metabarcoding data showed no deviation from those obtained from the standard data set. The implications of this are that most information needed to understand the soil environment can reliably and fairly accurately be obtained from metabarcoding even if the same data misrepresent taxonomic compositions of individual taxa.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c-p triangle presents graphically three aspects of the condition of the soil, how enriched, stressed or stable it is based on the proportion of the community constituted by c-p1, c-p 2 or c-p 3-5 nematodes, respectively </w:t>
      </w:r>
      <w:r w:rsidRPr="0023180E">
        <w:rPr>
          <w:rFonts w:ascii="Arial" w:hAnsi="Arial" w:cs="Arial"/>
          <w:sz w:val="22"/>
        </w:rPr>
        <w:fldChar w:fldCharType="begin" w:fldLock="1"/>
      </w:r>
      <w:r w:rsidRPr="0023180E">
        <w:rPr>
          <w:rFonts w:ascii="Arial" w:hAnsi="Arial" w:cs="Arial"/>
          <w:sz w:val="22"/>
        </w:rPr>
        <w:instrText>ADDIN CSL_CITATION {"citationItems":[{"id":"ITEM-1","itemData":{"author":[{"dropping-particle":"","family":"Goede","given":"R G M","non-dropping-particle":"De","parse-names":false,"suffix":""},{"dropping-particle":"","family":"Bongers","given":"T","non-dropping-particle":"","parse-names":false,"suffix":""},{"dropping-particle":"","family":"Ettema","given":"C","non-dropping-particle":"","parse-names":false,"suffix":""}],"container-title":"Mededelingen van de Faculteit Landbouwwetenschappen, Rijksuniversiteit Gent","id":"ITEM-1","issued":{"date-parts":[["1993"]]},"page":"743-750","title":"Graphical presentation and interpretation of nematode community structure: cp triangles.","type":"article-journal","volume":"58"},"uris":["http://www.mendeley.com/documents/?uuid=858c7b03-4cd3-46ea-819e-11f46b741e76"]}],"mendeley":{"formattedCitation":"(De Goede et al., 1993a)","plainTextFormattedCitation":"(De Goede et al., 1993a)","previouslyFormattedCitation":"(De Goede et al., 1993a)"},"properties":{"noteIndex":0},"schema":"https://github.com/citation-style-language/schema/raw/master/csl-citation.json"}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(De Goede et al., 1993a)</w:t>
      </w:r>
      <w:r w:rsidRPr="0023180E">
        <w:rPr>
          <w:rFonts w:ascii="Arial" w:hAnsi="Arial" w:cs="Arial"/>
          <w:sz w:val="22"/>
        </w:rPr>
        <w:fldChar w:fldCharType="end"/>
      </w:r>
      <w:r w:rsidRPr="0023180E">
        <w:rPr>
          <w:rFonts w:ascii="Arial" w:hAnsi="Arial" w:cs="Arial"/>
          <w:sz w:val="22"/>
        </w:rPr>
        <w:t xml:space="preserve">. Although the main goal of c-p triangles is to demonstrate patterns in community change over time, they can also give a snapshot of the state of soil at any point in time. The two data sets in this study provided different depiction of the nematode communities. The format of the data used [rarefied, unrarefied or presence-absence] did not matter much. The metabarcoding data showed communities highly dominated by c-p 1 and c-p 2 nematodes, thus either highly enriched or stressed. Overrepresentation of a few dominant taxa in sequence reads can occur in metabarcoding data </w:t>
      </w:r>
      <w:r w:rsidRPr="0023180E">
        <w:rPr>
          <w:rFonts w:ascii="Arial" w:hAnsi="Arial" w:cs="Arial"/>
          <w:sz w:val="22"/>
        </w:rPr>
        <w:fldChar w:fldCharType="begin" w:fldLock="1"/>
      </w:r>
      <w:r w:rsidRPr="0023180E">
        <w:rPr>
          <w:rFonts w:ascii="Arial" w:hAnsi="Arial" w:cs="Arial"/>
          <w:sz w:val="22"/>
        </w:rPr>
        <w:instrText>ADDIN CSL_CITATION {"citationItems":[{"id":"ITEM-1","itemData":{"ISSN":"0027-8424","author":[{"dropping-particle":"","family":"Sogin","given":"Mitchell L","non-dropping-particle":"","parse-names":false,"suffix":""},{"dropping-particle":"","family":"Morrison","given":"Hilary G","non-dropping-particle":"","parse-names":false,"suffix":""},{"dropping-particle":"","family":"Huber","given":"Julie A","non-dropping-particle":"","parse-names":false,"suffix":""},{"dropping-particle":"","family":"Welch","given":"David Mark","non-dropping-particle":"","parse-names":false,"suffix":""},{"dropping-particle":"","family":"Huse","given":"Susan M","non-dropping-particle":"","parse-names":false,"suffix":""},{"dropping-particle":"","family":"Neal","given":"Phillip R","non-dropping-particle":"","parse-names":false,"suffix":""},{"dropping-particle":"","family":"Arrieta","given":"Jesus M","non-dropping-particle":"","parse-names":false,"suffix":""},{"dropping-particle":"","family":"Herndl","given":"Gerhard J","non-dropping-particle":"","parse-names":false,"suffix":""}],"container-title":"Proceedings of the National Academy of Sciences","id":"ITEM-1","issue":"32","issued":{"date-parts":[["2006"]]},"page":"12115-12120","publisher":"National Acad Sciences","title":"Microbial diversity in the deep sea and the underexplored “rare biosphere”","type":"article-journal","volume":"103"},"uris":["http://www.mendeley.com/documents/?uuid=cc39a9aa-9b23-41d7-9512-f012b939de06"]}],"mendeley":{"formattedCitation":"(Sogin et al., 2006)","plainTextFormattedCitation":"(Sogin et al., 2006)","previouslyFormattedCitation":"(Sogin et al., 2006)"},"properties":{"noteIndex":0},"schema":"https://github.com/citation-style-language/schema/raw/master/csl-citation.json"}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(Sogin et al., 2006)</w:t>
      </w:r>
      <w:r w:rsidRPr="0023180E">
        <w:rPr>
          <w:rFonts w:ascii="Arial" w:hAnsi="Arial" w:cs="Arial"/>
          <w:sz w:val="22"/>
        </w:rPr>
        <w:fldChar w:fldCharType="end"/>
      </w:r>
      <w:r w:rsidRPr="0023180E">
        <w:rPr>
          <w:rFonts w:ascii="Arial" w:hAnsi="Arial" w:cs="Arial"/>
          <w:sz w:val="22"/>
        </w:rPr>
        <w:t xml:space="preserve">; and this may explain the exacerbated stress condition in the metabarcoding data.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only significant factor according to the NMDS ordination of dissimilarity matrices was sampling depth and both the standard and metabarcoding data sets demonstrated this. In a previous study that looked at the difference between nematode communities within different depths, </w:t>
      </w:r>
      <w:r w:rsidRPr="0023180E">
        <w:rPr>
          <w:rFonts w:ascii="Arial" w:hAnsi="Arial" w:cs="Arial"/>
          <w:sz w:val="22"/>
        </w:rPr>
        <w:fldChar w:fldCharType="begin" w:fldLock="1"/>
      </w:r>
      <w:r w:rsidR="0023180E" w:rsidRPr="0023180E">
        <w:rPr>
          <w:rFonts w:ascii="Arial" w:hAnsi="Arial" w:cs="Arial"/>
          <w:sz w:val="22"/>
        </w:rPr>
        <w:instrText>ADDIN CSL_CITATION {"citationItems":[{"id":"ITEM-1","itemData":{"DOI":"Doi 10.1163/156854106778877857","ISBN":"1388-5545","ISSN":"1568-5411","abstract":"The purported benefits of conservation tillage and continuous cropping in agricultural systems include enhancement of soil ecosystem functions to improve nutrient availability to crops and soil C storage. Studies relating soil management to community structure allow the development of bioindicators and the assessment of the consequences of management practices on the soil food web. During one year (December 2003-December 2004), we studied the influence of continuous cropping (CC), intermittent fallow (F), standard tillage (ST) and no tillage (NT) on the nematode assemblage and the soil food web in a legume-vegetable rotation system in California. The most intensive systems included four crops during the study period. Tillage practices and cropping pattern strongly influenced nematode faunal composition, and the soil food web, at different soil depths. Management effects on nematode taxa depended on their position along the coloniser-persister (cp) scale and on their trophic roles. At the last sampling date (December 2004), Mesorhabditis and Acrobeloides were positively associated with NH4+, while Panagrolaimus and Plectus were negatively correlated with certain phospholipid fatty acids (PLFA). Microbial-feeders were in general associated with both bacterial and fungal PLFA, microbial biomass C (MBC) by chloroform fumigation-extraction, total C and N, NH4+ and NO3-, and were most abundant in the surface soil of the NTCC treatment. Fungal-feeders were more closely related to PLFA markers of fungi than to ergosterol, a purported fungal sterol. Discolaimus, Prionchulus, Mylonchulus and Aporcelaimidae, in contrast, were associated with intermittent fallow and deeper soil layers. The organisms in the higher levels of the soil food web did not respond to the continuous input of C in the soil and a long recovery period may be required for appropriate taxa to be reintroduced and to increase. At the end of the experiment, each treatment supported quite different nematode assemblages and soil food webs.","author":[{"dropping-particle":"","family":"Sánchez-Moreno","given":"Sara","non-dropping-particle":"","parse-names":false,"suffix":""},{"dropping-particle":"","family":"Minoshima","given":"Hideomi","non-dropping-particle":"","parse-names":false,"suffix":""},{"dropping-particle":"","family":"Ferris","given":"Howard","non-dropping-particle":"","parse-names":false,"suffix":""},{"dropping-particle":"","family":"Jackson","given":"Louise E","non-dropping-particle":"","parse-names":false,"suffix":""},{"dropping-particle":"","family":"Sanchez-Moreno","given":"S","non-dropping-particle":"","parse-names":false,"suffix":""},{"dropping-particle":"","family":"Minoshima","given":"Hideomi","non-dropping-particle":"","parse-names":false,"suffix":""},{"dropping-particle":"","family":"Ferris","given":"Howard","non-dropping-particle":"","parse-names":false,"suffix":""},{"dropping-particle":"","family":"Jackson","given":"Louise E","non-dropping-particle":"","parse-names":false,"suffix":""}],"container-title":"Nematology","id":"ITEM-1","issue":"5","issued":{"date-parts":[["2006"]]},"page":"703-715","publisher":"Brill","title":"Linking soil properties and nematode community composition: effects of soil management on soil food webs","type":"article-journal","volume":"8"},"uris":["http://www.mendeley.com/documents/?uuid=b7b85b5d-1a6a-4e96-a93e-1f9a1c9becde"]}],"mendeley":{"formattedCitation":"(Sánchez-Moreno et al., 2006)","manualFormatting":"Sánchez-Moreno et al. (2006)","plainTextFormattedCitation":"(Sánchez-Moreno et al., 2006)","previouslyFormattedCitation":"(Sánchez-Moreno et al., 2006b)"},"properties":{"noteIndex":0},"schema":"https://github.com/citation-style-language/schema/raw/master/csl-citation.json"}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Sánchez-Moreno et al. (2006)</w:t>
      </w:r>
      <w:r w:rsidRPr="0023180E">
        <w:rPr>
          <w:rFonts w:ascii="Arial" w:hAnsi="Arial" w:cs="Arial"/>
          <w:sz w:val="22"/>
        </w:rPr>
        <w:fldChar w:fldCharType="end"/>
      </w:r>
      <w:r w:rsidRPr="0023180E">
        <w:rPr>
          <w:rFonts w:ascii="Arial" w:hAnsi="Arial" w:cs="Arial"/>
          <w:sz w:val="22"/>
        </w:rPr>
        <w:t xml:space="preserve"> also found that some taxa were significantly higher in some parts of the profile than they were in others. They observed a significantly higher number of bacterivores and fungivores, particularly those belonging to the c-p 1 and c-p 2 groups in the top soil layers (0-15 cm) of the profile. The lower depths had significantly higher number of herbivores such as </w:t>
      </w:r>
      <w:r w:rsidRPr="0023180E">
        <w:rPr>
          <w:rFonts w:ascii="Arial" w:hAnsi="Arial" w:cs="Arial"/>
          <w:i/>
          <w:sz w:val="22"/>
        </w:rPr>
        <w:t>Pratylenchus</w:t>
      </w:r>
      <w:r w:rsidRPr="0023180E">
        <w:rPr>
          <w:rFonts w:ascii="Arial" w:hAnsi="Arial" w:cs="Arial"/>
          <w:sz w:val="22"/>
        </w:rPr>
        <w:t xml:space="preserve"> and </w:t>
      </w:r>
      <w:proofErr w:type="spellStart"/>
      <w:r w:rsidRPr="0023180E">
        <w:rPr>
          <w:rFonts w:ascii="Arial" w:hAnsi="Arial" w:cs="Arial"/>
          <w:sz w:val="22"/>
        </w:rPr>
        <w:t>Tylenchidae</w:t>
      </w:r>
      <w:proofErr w:type="spellEnd"/>
      <w:r w:rsidRPr="0023180E">
        <w:rPr>
          <w:rFonts w:ascii="Arial" w:hAnsi="Arial" w:cs="Arial"/>
          <w:sz w:val="22"/>
        </w:rPr>
        <w:t>. Similar observations were made regarding the vertical distribution of herbivores versus bacterivores in both standard and metabarcoding data sets (</w:t>
      </w:r>
      <w:r w:rsidRPr="0023180E">
        <w:rPr>
          <w:rFonts w:ascii="Arial" w:hAnsi="Arial" w:cs="Arial"/>
          <w:sz w:val="22"/>
        </w:rPr>
        <w:fldChar w:fldCharType="begin"/>
      </w:r>
      <w:r w:rsidRPr="0023180E">
        <w:rPr>
          <w:rFonts w:ascii="Arial" w:hAnsi="Arial" w:cs="Arial"/>
          <w:sz w:val="22"/>
        </w:rPr>
        <w:instrText xml:space="preserve"> REF _Ref514827829 \h </w:instrText>
      </w:r>
      <w:r w:rsidR="0023180E" w:rsidRPr="0023180E">
        <w:rPr>
          <w:rFonts w:ascii="Arial" w:hAnsi="Arial" w:cs="Arial"/>
          <w:sz w:val="22"/>
        </w:rPr>
        <w:instrText xml:space="preserve">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 xml:space="preserve">Table </w:t>
      </w:r>
      <w:r w:rsidRPr="0023180E">
        <w:rPr>
          <w:rFonts w:ascii="Arial" w:hAnsi="Arial" w:cs="Arial"/>
          <w:noProof/>
          <w:sz w:val="22"/>
        </w:rPr>
        <w:t>7</w:t>
      </w:r>
      <w:r w:rsidRPr="0023180E">
        <w:rPr>
          <w:rFonts w:ascii="Arial" w:hAnsi="Arial" w:cs="Arial"/>
          <w:sz w:val="22"/>
        </w:rPr>
        <w:t>.</w:t>
      </w:r>
      <w:r w:rsidRPr="0023180E">
        <w:rPr>
          <w:rFonts w:ascii="Arial" w:hAnsi="Arial" w:cs="Arial"/>
          <w:noProof/>
          <w:sz w:val="22"/>
        </w:rPr>
        <w:t>3</w:t>
      </w:r>
      <w:r w:rsidRPr="0023180E">
        <w:rPr>
          <w:rFonts w:ascii="Arial" w:hAnsi="Arial" w:cs="Arial"/>
          <w:sz w:val="22"/>
        </w:rPr>
        <w:fldChar w:fldCharType="end"/>
      </w:r>
      <w:r w:rsidRPr="0023180E">
        <w:rPr>
          <w:rFonts w:ascii="Arial" w:hAnsi="Arial" w:cs="Arial"/>
          <w:sz w:val="22"/>
        </w:rPr>
        <w:t xml:space="preserve"> and </w:t>
      </w:r>
      <w:r w:rsidRPr="0023180E">
        <w:rPr>
          <w:rFonts w:ascii="Arial" w:hAnsi="Arial" w:cs="Arial"/>
          <w:sz w:val="22"/>
        </w:rPr>
        <w:fldChar w:fldCharType="begin"/>
      </w:r>
      <w:r w:rsidRPr="0023180E">
        <w:rPr>
          <w:rFonts w:ascii="Arial" w:hAnsi="Arial" w:cs="Arial"/>
          <w:sz w:val="22"/>
        </w:rPr>
        <w:instrText xml:space="preserve"> REF _Ref514827834 \h </w:instrText>
      </w:r>
      <w:r w:rsidR="0023180E" w:rsidRPr="0023180E">
        <w:rPr>
          <w:rFonts w:ascii="Arial" w:hAnsi="Arial" w:cs="Arial"/>
          <w:sz w:val="22"/>
        </w:rPr>
        <w:instrText xml:space="preserve"> \* MERGEFORMAT </w:instrText>
      </w:r>
      <w:r w:rsidRPr="0023180E">
        <w:rPr>
          <w:rFonts w:ascii="Arial" w:hAnsi="Arial" w:cs="Arial"/>
          <w:sz w:val="22"/>
        </w:rPr>
      </w:r>
      <w:r w:rsidRPr="0023180E">
        <w:rPr>
          <w:rFonts w:ascii="Arial" w:hAnsi="Arial" w:cs="Arial"/>
          <w:sz w:val="22"/>
        </w:rPr>
        <w:fldChar w:fldCharType="separate"/>
      </w:r>
      <w:r w:rsidRPr="0023180E">
        <w:rPr>
          <w:rFonts w:ascii="Arial" w:hAnsi="Arial" w:cs="Arial"/>
          <w:sz w:val="22"/>
        </w:rPr>
        <w:t xml:space="preserve">Table </w:t>
      </w:r>
      <w:r w:rsidRPr="0023180E">
        <w:rPr>
          <w:rFonts w:ascii="Arial" w:hAnsi="Arial" w:cs="Arial"/>
          <w:noProof/>
          <w:sz w:val="22"/>
        </w:rPr>
        <w:t>7</w:t>
      </w:r>
      <w:r w:rsidRPr="0023180E">
        <w:rPr>
          <w:rFonts w:ascii="Arial" w:hAnsi="Arial" w:cs="Arial"/>
          <w:sz w:val="22"/>
        </w:rPr>
        <w:t>.</w:t>
      </w:r>
      <w:r w:rsidRPr="0023180E">
        <w:rPr>
          <w:rFonts w:ascii="Arial" w:hAnsi="Arial" w:cs="Arial"/>
          <w:noProof/>
          <w:sz w:val="22"/>
        </w:rPr>
        <w:t>4</w:t>
      </w:r>
      <w:r w:rsidRPr="0023180E">
        <w:rPr>
          <w:rFonts w:ascii="Arial" w:hAnsi="Arial" w:cs="Arial"/>
          <w:sz w:val="22"/>
        </w:rPr>
        <w:fldChar w:fldCharType="end"/>
      </w:r>
      <w:r w:rsidRPr="0023180E">
        <w:rPr>
          <w:rFonts w:ascii="Arial" w:hAnsi="Arial" w:cs="Arial"/>
          <w:sz w:val="22"/>
        </w:rPr>
        <w:t xml:space="preserve">). Bacterivores were most abundant in 0-15 cm in both data sets regardless of whether the data were rarefied or unrarefied. Herbivore </w:t>
      </w:r>
      <w:r w:rsidRPr="0023180E">
        <w:rPr>
          <w:rFonts w:ascii="Arial" w:hAnsi="Arial" w:cs="Arial"/>
          <w:sz w:val="22"/>
        </w:rPr>
        <w:lastRenderedPageBreak/>
        <w:t xml:space="preserve">percentage of total nematodes, on the other hand, was highest in the lower 15-30 cm for both data sets. In the metabarcoding data set, </w:t>
      </w:r>
      <w:r w:rsidRPr="0023180E">
        <w:rPr>
          <w:rFonts w:ascii="Arial" w:hAnsi="Arial" w:cs="Arial"/>
          <w:i/>
          <w:sz w:val="22"/>
        </w:rPr>
        <w:t>Rhabditis</w:t>
      </w:r>
      <w:r w:rsidRPr="0023180E">
        <w:rPr>
          <w:rFonts w:ascii="Arial" w:hAnsi="Arial" w:cs="Arial"/>
          <w:sz w:val="22"/>
        </w:rPr>
        <w:t xml:space="preserve"> was lowest in the top 0-5 cm depth, which contradicts what was expected as this genus also belongs to the bacterivore trophic group. It also contradicts the result from the standard data set. </w:t>
      </w:r>
      <w:r w:rsidRPr="0023180E">
        <w:rPr>
          <w:rFonts w:ascii="Arial" w:hAnsi="Arial" w:cs="Arial"/>
          <w:i/>
          <w:sz w:val="22"/>
        </w:rPr>
        <w:t>Rhabditis</w:t>
      </w:r>
      <w:r w:rsidRPr="0023180E">
        <w:rPr>
          <w:rFonts w:ascii="Arial" w:hAnsi="Arial" w:cs="Arial"/>
          <w:sz w:val="22"/>
        </w:rPr>
        <w:t xml:space="preserve"> is amongst the bacterivorous taxa known to form dauer, a non-feeding dormant stage. And this unexpected outcome with the metabarcoding data may have had to do with the difference in how the two approaches, standard and metabarcoding, detect juveniles in the dauer stage. Because it is nearly impossible to identify the genus or even the family of a dauer through standard morphological identification, they are usually classified as a separate group. This is however different with the metabarcoding approach which can easily identify the genus or even species that a dauer belongs. Some of the </w:t>
      </w:r>
      <w:r w:rsidRPr="0023180E">
        <w:rPr>
          <w:rFonts w:ascii="Arial" w:hAnsi="Arial" w:cs="Arial"/>
          <w:i/>
          <w:sz w:val="22"/>
        </w:rPr>
        <w:t>Rhabditis</w:t>
      </w:r>
      <w:r w:rsidRPr="0023180E">
        <w:rPr>
          <w:rFonts w:ascii="Arial" w:hAnsi="Arial" w:cs="Arial"/>
          <w:sz w:val="22"/>
        </w:rPr>
        <w:t xml:space="preserve"> in the metabarcoding data may have been among what were classified as dauer in the standard data. And since a significant number of dauer juveniles were detected in the lower depths in the standard identification method, they most likely added to the number of </w:t>
      </w:r>
      <w:r w:rsidRPr="0023180E">
        <w:rPr>
          <w:rFonts w:ascii="Arial" w:hAnsi="Arial" w:cs="Arial"/>
          <w:i/>
          <w:sz w:val="22"/>
        </w:rPr>
        <w:t>Rhabditis</w:t>
      </w:r>
      <w:r w:rsidRPr="0023180E">
        <w:rPr>
          <w:rFonts w:ascii="Arial" w:hAnsi="Arial" w:cs="Arial"/>
          <w:sz w:val="22"/>
        </w:rPr>
        <w:t xml:space="preserve"> in the metabarcoding data within this depth.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Community succession is a very important aspect of environmental monitoring </w:t>
      </w:r>
      <w:r w:rsidRPr="0023180E">
        <w:rPr>
          <w:rFonts w:ascii="Arial" w:hAnsi="Arial" w:cs="Arial"/>
          <w:sz w:val="22"/>
        </w:rPr>
        <w:fldChar w:fldCharType="begin" w:fldLock="1"/>
      </w:r>
      <w:r w:rsidRPr="0023180E">
        <w:rPr>
          <w:rFonts w:ascii="Arial" w:hAnsi="Arial" w:cs="Arial"/>
          <w:sz w:val="22"/>
        </w:rPr>
        <w:instrText>ADDIN CSL_CITATION {"citationItems":[{"id":"ITEM-1","itemData":{"ISSN":"0929-1393","author":[{"dropping-particle":"","family":"Háněl","given":"Ladislav","non-dropping-particle":"","parse-names":false,"suffix":""}],"container-title":"Applied soil ecology","id":"ITEM-1","issue":"3","issued":{"date-parts":[["2010"]]},"page":"355-371","publisher":"Elsevier","title":"An outline of soil nematode succession on abandoned fields in South Bohemia","type":"article-journal","volume":"46"},"uris":["http://www.mendeley.com/documents/?uuid=07580a6a-cb94-4c7d-ba7a-dfb9f76019f1"]},{"id":"ITEM-2","itemData":{"ISSN":"0929-1393","author":[{"dropping-particle":"","family":"Ferris","given":"H","non-dropping-particle":"","parse-names":false,"suffix":""},{"dropping-particle":"","family":"Matute","given":"M M","non-dropping-particle":"","parse-names":false,"suffix":""}],"container-title":"Applied Soil Ecology","id":"ITEM-2","issue":"2","issued":{"date-parts":[["2003"]]},"page":"93-110","publisher":"Elsevier","title":"Structural and functional succession in the nematode fauna of a soil food web","type":"article-journal","volume":"23"},"uris":["http://www.mendeley.com/documents/?uuid=3b80117c-143e-4680-86e3-c8a660f25ec0"]},{"id":"ITEM-3","itemData":{"ISSN":"1164-5571","author":[{"dropping-particle":"","family":"Goede","given":"R G M","non-dropping-particle":"De","parse-names":false,"suffix":""},{"dropping-particle":"","family":"Georgieva","given":"S S","non-dropping-particle":"","parse-names":false,"suffix":""},{"dropping-particle":"","family":"Verschoor","given":"B C","non-dropping-particle":"","parse-names":false,"suffix":""},{"dropping-particle":"","family":"Kamerman","given":"J W","non-dropping-particle":"","parse-names":false,"suffix":""}],"container-title":"Fundamental and applied nematology","id":"ITEM-3","issue":"6","issued":{"date-parts":[["1993"]]},"page":"501-513","title":"Changes in nematode community structure in a primary succession of blown-out areas in a drift sand landscape","type":"article-journal","volume":"16"},"uris":["http://www.mendeley.com/documents/?uuid=e582adb9-03fc-4213-9b2b-14bc0e4645b4"]},{"id":"ITEM-4","itemData":{"ISSN":"0030-1299","author":[{"dropping-particle":"","family":"Wardle","given":"D A","non-dropping-particle":"","parse-names":false,"suffix":""},{"dropping-particle":"","family":"Yeates","given":"G W","non-dropping-particle":"","parse-names":false,"suffix":""},{"dropping-particle":"","family":"Watson","given":"R N","non-dropping-particle":"","parse-names":false,"suffix":""},{"dropping-particle":"","family":"Nicholson","given":"K S","non-dropping-particle":"","parse-names":false,"suffix":""}],"container-title":"Oikos","id":"ITEM-4","issued":{"date-parts":[["1995"]]},"page":"155-166","publisher":"JSTOR","title":"Development of the decomposer food-web, trophic relationships, and ecosystem properties during a three-year primary succession in sawdust","type":"article-journal"},"uris":["http://www.mendeley.com/documents/?uuid=3d26bc6c-56ed-4d1a-8c50-cf848511ac09"]},{"id":"ITEM-5","itemData":{"ISSN":"0178-2762","author":[{"dropping-particle":"","family":"Ettema","given":"Christien H","non-dropping-particle":"","parse-names":false,"suffix":""},{"dropping-particle":"","family":"Bongers","given":"Tom","non-dropping-particle":"","parse-names":false,"suffix":""}],"container-title":"Biology and Fertility of Soils","id":"ITEM-5","issue":"2","issued":{"date-parts":[["1993"]]},"page":"79-85","publisher":"Springer","title":"Characterization of nematode colonization and succession in disturbed soil using the Maturity Index","type":"article-journal","volume":"16"},"uris":["http://www.mendeley.com/documents/?uuid=69ed9b84-4aa5-4981-9d2a-1494b716de43"]}],"mendeley":{"formattedCitation":"(De Goede et al., 1993b; Ettema and Bongers, 1993; Ferris and Matute, 2003; Háněl, 2010; Wardle et al., 1995)","plainTextFormattedCitation":"(De Goede et al., 1993b; Ettema and Bongers, 1993; Ferris and Matute, 2003; Háněl, 2010; Wardle et al., 1995)","previouslyFormattedCitation":"(De Goede et al., 1993b; Ettema and Bongers, 1993; Ferris and Matute, 2003; Háněl, 2010; Wardle et al., 1995)"},"properties":{"noteIndex":0},"schema":"https://github.com/citation-style-language/schema/raw/master/csl-citation.json"}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(De Goede et al., 1993b; Ettema and Bongers, 1993; Ferris and Matute, 2003; Háněl, 2010; Wardle et al., 1995)</w:t>
      </w:r>
      <w:r w:rsidRPr="0023180E">
        <w:rPr>
          <w:rFonts w:ascii="Arial" w:hAnsi="Arial" w:cs="Arial"/>
          <w:sz w:val="22"/>
        </w:rPr>
        <w:fldChar w:fldCharType="end"/>
      </w:r>
      <w:r w:rsidRPr="0023180E">
        <w:rPr>
          <w:rFonts w:ascii="Arial" w:hAnsi="Arial" w:cs="Arial"/>
          <w:sz w:val="22"/>
        </w:rPr>
        <w:t xml:space="preserve">. Even though this study compared only two separate time points, analysed using only metabarcoding, there were some significant changes in some of the community indices. Increased perturbation in the form of deep tillage caused a significant decrease in maturity index in the second sampling year. Plant parasitic index is the MI equivalent designated exclusively for the plant-parasitic nematodes </w:t>
      </w:r>
      <w:r w:rsidRPr="0023180E">
        <w:rPr>
          <w:rFonts w:ascii="Arial" w:hAnsi="Arial" w:cs="Arial"/>
          <w:sz w:val="22"/>
        </w:rPr>
        <w:fldChar w:fldCharType="begin" w:fldLock="1"/>
      </w:r>
      <w:r w:rsidRPr="0023180E">
        <w:rPr>
          <w:rFonts w:ascii="Arial" w:hAnsi="Arial" w:cs="Arial"/>
          <w:sz w:val="22"/>
        </w:rPr>
        <w:instrText>ADDIN CSL_CITATION {"citationItems":[{"id":"ITEM-1","itemData":{"ISSN":"0029-8549","author":[{"dropping-particle":"","family":"Bongers","given":"Tom","non-dropping-particle":"","parse-names":false,"suffix":""}],"container-title":"Oecologia","id":"ITEM-1","issue":"1","issued":{"date-parts":[["1990"]]},"page":"14-19","publisher":"Springer","title":"The maturity index: an ecological measure of environmental disturbance based on nematode species composition","type":"article-journal","volume":"83"},"uris":["http://www.mendeley.com/documents/?uuid=ac28d379-c0d6-4b5b-9916-3835705c5ebe"]}],"mendeley":{"formattedCitation":"(Bongers, 1990)","plainTextFormattedCitation":"(Bongers, 1990)","previouslyFormattedCitation":"(Bongers, 1990)"},"properties":{"noteIndex":0},"schema":"https://github.com/citation-style-language/schema/raw/master/csl-citation.json"}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1990)</w:t>
      </w:r>
      <w:r w:rsidRPr="0023180E">
        <w:rPr>
          <w:rFonts w:ascii="Arial" w:hAnsi="Arial" w:cs="Arial"/>
          <w:sz w:val="22"/>
        </w:rPr>
        <w:fldChar w:fldCharType="end"/>
      </w:r>
      <w:r w:rsidRPr="0023180E">
        <w:rPr>
          <w:rFonts w:ascii="Arial" w:hAnsi="Arial" w:cs="Arial"/>
          <w:sz w:val="22"/>
        </w:rPr>
        <w:t xml:space="preserve">. Previous studies have shown that its relationship with MI can be either direct </w:t>
      </w:r>
      <w:r w:rsidRPr="0023180E">
        <w:rPr>
          <w:rFonts w:ascii="Arial" w:hAnsi="Arial" w:cs="Arial"/>
          <w:sz w:val="22"/>
        </w:rPr>
        <w:fldChar w:fldCharType="begin" w:fldLock="1"/>
      </w:r>
      <w:r w:rsidRPr="0023180E">
        <w:rPr>
          <w:rFonts w:ascii="Arial" w:hAnsi="Arial" w:cs="Arial"/>
          <w:sz w:val="22"/>
        </w:rPr>
        <w:instrText>ADDIN CSL_CITATION {"citationItems":[{"id":"ITEM-1","itemData":{"ISSN":"0929-1393","author":[{"dropping-particle":"","family":"Neher","given":"Deborah A","non-dropping-particle":"","parse-names":false,"suffix":""},{"dropping-particle":"","family":"Campbell","given":"C Lee","non-dropping-particle":"","parse-names":false,"suffix":""}],"container-title":"Applied Soil Ecology","id":"ITEM-1","issue":"1","issued":{"date-parts":[["1994"]]},"page":"17-28","publisher":"Elsevier","title":"Nematode communities and microbial biomass in soils with annual and perennial crops","type":"article-journal","volume":"1"},"uris":["http://www.mendeley.com/documents/?uuid=ba75267e-d629-4076-a8b6-b11eb1405c11"]}],"mendeley":{"formattedCitation":"(Neher and Campbell, 1994)","plainTextFormattedCitation":"(Neher and Campbell, 1994)","previouslyFormattedCitation":"(Neher and Campbell, 1994)"},"properties":{"noteIndex":0},"schema":"https://github.com/citation-style-language/schema/raw/master/csl-citation.json"}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(Neher and Campbell, 1994)</w:t>
      </w:r>
      <w:r w:rsidRPr="0023180E">
        <w:rPr>
          <w:rFonts w:ascii="Arial" w:hAnsi="Arial" w:cs="Arial"/>
          <w:sz w:val="22"/>
        </w:rPr>
        <w:fldChar w:fldCharType="end"/>
      </w:r>
      <w:r w:rsidRPr="0023180E">
        <w:rPr>
          <w:rFonts w:ascii="Arial" w:hAnsi="Arial" w:cs="Arial"/>
          <w:sz w:val="22"/>
        </w:rPr>
        <w:t xml:space="preserve"> or inverse </w:t>
      </w:r>
      <w:r w:rsidRPr="0023180E">
        <w:rPr>
          <w:rFonts w:ascii="Arial" w:hAnsi="Arial" w:cs="Arial"/>
          <w:sz w:val="22"/>
        </w:rPr>
        <w:fldChar w:fldCharType="begin" w:fldLock="1"/>
      </w:r>
      <w:r w:rsidRPr="0023180E">
        <w:rPr>
          <w:rFonts w:ascii="Arial" w:hAnsi="Arial" w:cs="Arial"/>
          <w:sz w:val="22"/>
        </w:rPr>
        <w:instrText>ADDIN CSL_CITATION {"citationItems":[{"id":"ITEM-1","itemData":{"ISSN":"0929-1393","author":[{"dropping-particle":"","family":"Bongers","given":"Tom","non-dropping-particle":"","parse-names":false,"suffix":""},{"dropping-particle":"","family":"Meulen","given":"Hans","non-dropping-particle":"van der","parse-names":false,"suffix":""},{"dropping-particle":"","family":"Korthals","given":"Gerard","non-dropping-particle":"","parse-names":false,"suffix":""}],"container-title":"Applied Soil Ecology","id":"ITEM-1","issue":"2","issued":{"date-parts":[["1997"]]},"page":"195-199","publisher":"Elsevier","title":"Inverse relationship between the nematode maturity index and plant parasite index under enriched nutrient conditions","type":"article-journal","volume":"6"},"uris":["http://www.mendeley.com/documents/?uuid=32db59e6-1ad3-4998-98ad-d00e2b095b29"]}],"mendeley":{"formattedCitation":"(Bongers et al., 1997)","plainTextFormattedCitation":"(Bongers et al., 1997)","previouslyFormattedCitation":"(Bongers et al., 1997)"},"properties":{"noteIndex":0},"schema":"https://github.com/citation-style-language/schema/raw/master/csl-citation.json"}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(Bongers et al., 1997)</w:t>
      </w:r>
      <w:r w:rsidRPr="0023180E">
        <w:rPr>
          <w:rFonts w:ascii="Arial" w:hAnsi="Arial" w:cs="Arial"/>
          <w:sz w:val="22"/>
        </w:rPr>
        <w:fldChar w:fldCharType="end"/>
      </w:r>
      <w:r w:rsidRPr="0023180E">
        <w:rPr>
          <w:rFonts w:ascii="Arial" w:hAnsi="Arial" w:cs="Arial"/>
          <w:sz w:val="22"/>
        </w:rPr>
        <w:t xml:space="preserve">. This therefore explains why the PPI in this study increases between two sampling dates while MI decreases. Another reason could be the availability of a suitable host in the interval between the two sampling since this could have resulted in the multiplication of herbivores such as </w:t>
      </w:r>
      <w:r w:rsidRPr="0023180E">
        <w:rPr>
          <w:rFonts w:ascii="Arial" w:hAnsi="Arial" w:cs="Arial"/>
          <w:i/>
          <w:sz w:val="22"/>
        </w:rPr>
        <w:t>Meloidogyne</w:t>
      </w:r>
      <w:r w:rsidRPr="0023180E">
        <w:rPr>
          <w:rFonts w:ascii="Arial" w:hAnsi="Arial" w:cs="Arial"/>
          <w:sz w:val="22"/>
        </w:rPr>
        <w:t xml:space="preserve"> or </w:t>
      </w:r>
      <w:r w:rsidRPr="0023180E">
        <w:rPr>
          <w:rFonts w:ascii="Arial" w:hAnsi="Arial" w:cs="Arial"/>
          <w:i/>
          <w:sz w:val="22"/>
        </w:rPr>
        <w:t>Pratylenchus</w:t>
      </w:r>
      <w:r w:rsidRPr="0023180E">
        <w:rPr>
          <w:rFonts w:ascii="Arial" w:hAnsi="Arial" w:cs="Arial"/>
          <w:sz w:val="22"/>
        </w:rPr>
        <w:t xml:space="preserve">. If that was the case, it would certainly have increased the PPI since both of these taxa have plant parasitic indices of three. </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The c-p triangle’s representation of pattern of change within the nematode communities showed some mild increases in both stability and enrichment for both rarefied and binary data formats. It has to be said that, based on the earlier comparison between c-p triangles from the standard and metabarcoding data sets, metabarcoding based c-p triangles may be presenting completely exaggerated conditions of stress. More testing may be required to increase its reliability.</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In summary, this study demonstrates that metabarcoding data is capable of depicting significant aspects of a community’s condition and do match in many respects the conditions presented by data obtained from the standard morphology-based approach. However, there </w:t>
      </w:r>
      <w:r w:rsidRPr="0023180E">
        <w:rPr>
          <w:rFonts w:ascii="Arial" w:hAnsi="Arial" w:cs="Arial"/>
          <w:sz w:val="22"/>
        </w:rPr>
        <w:lastRenderedPageBreak/>
        <w:t>are a few acknowledgeable limitations to this study that if addressed in future studies, may improve the utility of metabarcoding for nematode community analysis.</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Firstly, the DNA extraction methodology could be improved. DNA extractions were carried out using 100 µl of suspensions making it a tenth of what was used for morphological analysis and a hundredth of the whole extracts from 200 g. This could have resulted in loss of taxa that were already rare in the soil sample. Moreover, the volume of suspension containing nematodes also contained other eukaryotes which were also amplified by the universal primers used as was reported in other studies </w:t>
      </w:r>
      <w:r w:rsidRPr="0023180E">
        <w:rPr>
          <w:rFonts w:ascii="Arial" w:hAnsi="Arial" w:cs="Arial"/>
          <w:sz w:val="22"/>
        </w:rPr>
        <w:fldChar w:fldCharType="begin" w:fldLock="1"/>
      </w:r>
      <w:r w:rsidRPr="0023180E">
        <w:rPr>
          <w:rFonts w:ascii="Arial" w:hAnsi="Arial" w:cs="Arial"/>
          <w:sz w:val="22"/>
        </w:rPr>
        <w:instrText>ADDIN CSL_CITATION {"citationItems":[{"id":"ITEM-1","itemData":{"DOI":"10.1186/s12898-014-0034-4","ISSN":"1472-6785","PMID":"25880249","abstract":"BACKGROUND:Nematodes are extremely diverse and numbers of species are predicted to be more than a million. Studies on nematode diversity are difficult and laborious using classical methods and therefore high-throughput sequencing is an attractive alternative. Primers that have been used in previous sequence-based studies are not nematode specific but also amplify other groups of organisms such as fungi and plantae, and thus require a nematode enrichment step that may introduce biases.RESULTS:In this study an amplification strategy which selectively amplifies a fragment of the SSU from nematodes without the need for enrichment was developed. Using this strategy on DNA templates from a set of 22 agricultural soils, we obtained 64.4% sequences of nematode origin in total, whereas the remaining sequences were almost entirely from other metazoans. The nematode sequences were derived from a broad taxonomic range and most sequences were from nematode taxa that have previously been found to be abundant in soil such as Tylenchida, Rhabditida, Dorylaimida, Triplonchida and Araeolaimida.CONCLUSIONS:Our amplification and sequencing strategy for assessing nematode diversity was able to collect a broad diversity without prior nematode enrichment and thus the method will be highly valuable in ecological studies of nematodes.","author":[{"dropping-particle":"","family":"Sapkota","given":"Rumakanta","non-dropping-particle":"","parse-names":false,"suffix":""},{"dropping-particle":"","family":"Nicolaisen","given":"Mogens","non-dropping-particle":"","parse-names":false,"suffix":""}],"container-title":"BMC Ecology","id":"ITEM-1","issue":"1","issued":{"date-parts":[["2015"]]},"page":"1-8","title":"High-throughput sequencing of nematode communities from total soil DNA extractions","type":"article-journal","volume":"15"},"uris":["http://www.mendeley.com/documents/?uuid=b3ab2653-17d4-40ec-9679-a2184ff21e39"]},{"id":"ITEM-2","itemData":{"ISSN":"2045-7758","author":[{"dropping-particle":"","family":"Peham","given":"Thomas","non-dropping-particle":"","parse-names":false,"suffix":""},{"dropping-particle":"","family":"Steiner","given":"Florian M","non-dropping-particle":"","parse-names":false,"suffix":""},{"dropping-particle":"","family":"Schlick</w:instrText>
      </w:r>
      <w:r w:rsidRPr="0023180E">
        <w:rPr>
          <w:rFonts w:ascii="Cambria Math" w:hAnsi="Cambria Math" w:cs="Cambria Math"/>
          <w:sz w:val="22"/>
        </w:rPr>
        <w:instrText>‐</w:instrText>
      </w:r>
      <w:r w:rsidRPr="0023180E">
        <w:rPr>
          <w:rFonts w:ascii="Arial" w:hAnsi="Arial" w:cs="Arial"/>
          <w:sz w:val="22"/>
        </w:rPr>
        <w:instrText>Steiner","given":"Birgit C","non-dropping-particle":"","parse-names":false,"suffix":""},{"dropping-particle":"","family":"Arthofer","given":"Wolfgang","non-dropping-particle":"","parse-names":false,"suffix":""}],"container-title":"Ecology and Evolution","id":"ITEM-2","issued":{"date-parts":[["2017"]]},"publisher":"Wiley Online Library","title":"Are we ready to detect nematode diversity by next generation sequencing?","type":"article-journal"},"uris":["http://www.mendeley.com/documents/?uuid=0fde63cb-df75-4655-8fe5-8552a5a875b5"]}],"mendeley":{"formattedCitation":"(Peham et al., 2017; Sapkota and Nicolaisen, 2015)","manualFormatting":"(Sapkota and Nicolaisen, 2015)","plainTextFormattedCitation":"(Peham et al., 2017; Sapkota and Nicolaisen, 2015)","previouslyFormattedCitation":"(Peham et al., 2017; Sapkota and Nicolaisen,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(Sapkota and Nicolaisen, 2015)</w:t>
      </w:r>
      <w:r w:rsidRPr="0023180E">
        <w:rPr>
          <w:rFonts w:ascii="Arial" w:hAnsi="Arial" w:cs="Arial"/>
          <w:sz w:val="22"/>
        </w:rPr>
        <w:fldChar w:fldCharType="end"/>
      </w:r>
      <w:r w:rsidRPr="0023180E">
        <w:rPr>
          <w:rFonts w:ascii="Arial" w:hAnsi="Arial" w:cs="Arial"/>
          <w:sz w:val="22"/>
        </w:rPr>
        <w:t>. In fact, a significant percentage of the otus generated for the 2016 samples were from these non-target taxa (82.43</w:t>
      </w:r>
      <w:r w:rsidR="009F65B3">
        <w:rPr>
          <w:rFonts w:ascii="Arial" w:hAnsi="Arial" w:cs="Arial"/>
          <w:sz w:val="22"/>
        </w:rPr>
        <w:t>%</w:t>
      </w:r>
      <w:r w:rsidRPr="0023180E">
        <w:rPr>
          <w:rFonts w:ascii="Arial" w:hAnsi="Arial" w:cs="Arial"/>
          <w:sz w:val="22"/>
        </w:rPr>
        <w:t xml:space="preserve">). To maximize the percentage of nematode reads it may be important to perform DNA extraction on either the whole suspension of nematode extracts or at least concentrate the suspension better through centrifugation. This may not necessarily exclude other taxa but would certainly increase the total nematode recovery. To exclude some of the non-target taxa, the nested PCR approach reported by </w:t>
      </w:r>
      <w:r w:rsidRPr="0023180E">
        <w:rPr>
          <w:rFonts w:ascii="Arial" w:hAnsi="Arial" w:cs="Arial"/>
          <w:sz w:val="22"/>
        </w:rPr>
        <w:fldChar w:fldCharType="begin" w:fldLock="1"/>
      </w:r>
      <w:r w:rsidRPr="0023180E">
        <w:rPr>
          <w:rFonts w:ascii="Arial" w:hAnsi="Arial" w:cs="Arial"/>
          <w:sz w:val="22"/>
        </w:rPr>
        <w:instrText>ADDIN CSL_CITATION {"citationItems":[{"id":"ITEM-1","itemData":{"DOI":"10.1186/s12898-014-0034-4","ISSN":"1472-6785","PMID":"25880249","abstract":"BACKGROUND:Nematodes are extremely diverse and numbers of species are predicted to be more than a million. Studies on nematode diversity are difficult and laborious using classical methods and therefore high-throughput sequencing is an attractive alternative. Primers that have been used in previous sequence-based studies are not nematode specific but also amplify other groups of organisms such as fungi and plantae, and thus require a nematode enrichment step that may introduce biases.RESULTS:In this study an amplification strategy which selectively amplifies a fragment of the SSU from nematodes without the need for enrichment was developed. Using this strategy on DNA templates from a set of 22 agricultural soils, we obtained 64.4% sequences of nematode origin in total, whereas the remaining sequences were almost entirely from other metazoans. The nematode sequences were derived from a broad taxonomic range and most sequences were from nematode taxa that have previously been found to be abundant in soil such as Tylenchida, Rhabditida, Dorylaimida, Triplonchida and Araeolaimida.CONCLUSIONS:Our amplification and sequencing strategy for assessing nematode diversity was able to collect a broad diversity without prior nematode enrichment and thus the method will be highly valuable in ecological studies of nematodes.","author":[{"dropping-particle":"","family":"Sapkota","given":"Rumakanta","non-dropping-particle":"","parse-names":false,"suffix":""},{"dropping-particle":"","family":"Nicolaisen","given":"Mogens","non-dropping-particle":"","parse-names":false,"suffix":""}],"container-title":"BMC Ecology","id":"ITEM-1","issue":"1","issued":{"date-parts":[["2015"]]},"page":"1-8","title":"High-throughput sequencing of nematode communities from total soil DNA extractions","type":"article-journal","volume":"15"},"uris":["http://www.mendeley.com/documents/?uuid=b3ab2653-17d4-40ec-9679-a2184ff21e39"]}],"mendeley":{"formattedCitation":"(Sapkota and Nicolaisen, 2015)","plainTextFormattedCitation":"(Sapkota and Nicolaisen, 2015)","previouslyFormattedCitation":"(Sapkota and Nicolaisen, 2015)"},"properties":{"noteIndex":0},"schema":"https://github.com/citation-style-language/schema/raw/master/csl-citation.json"}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(Sapkota and Nicolaisen, 2015)</w:t>
      </w:r>
      <w:r w:rsidRPr="0023180E">
        <w:rPr>
          <w:rFonts w:ascii="Arial" w:hAnsi="Arial" w:cs="Arial"/>
          <w:sz w:val="22"/>
        </w:rPr>
        <w:fldChar w:fldCharType="end"/>
      </w:r>
      <w:r w:rsidRPr="0023180E">
        <w:rPr>
          <w:rFonts w:ascii="Arial" w:hAnsi="Arial" w:cs="Arial"/>
          <w:sz w:val="22"/>
        </w:rPr>
        <w:t xml:space="preserve"> could be used to first exclude non-nematode targets before the actual amplification.</w:t>
      </w:r>
    </w:p>
    <w:p w:rsidR="00164794" w:rsidRPr="0023180E" w:rsidRDefault="00164794" w:rsidP="0023180E">
      <w:pPr>
        <w:spacing w:after="120" w:line="360" w:lineRule="auto"/>
        <w:jc w:val="both"/>
        <w:rPr>
          <w:rFonts w:ascii="Arial" w:hAnsi="Arial" w:cs="Arial"/>
          <w:sz w:val="22"/>
        </w:rPr>
      </w:pPr>
      <w:r w:rsidRPr="0023180E">
        <w:rPr>
          <w:rFonts w:ascii="Arial" w:hAnsi="Arial" w:cs="Arial"/>
          <w:sz w:val="22"/>
        </w:rPr>
        <w:t xml:space="preserve">The second limitation is to do with the extent to which nematode extracellular DNA could have made it into nematode extracts and eventually, into the recovered reads. Extracellular nematode DNA has been shown to occur in bulk nematode extracts </w:t>
      </w:r>
      <w:r w:rsidRPr="0023180E">
        <w:rPr>
          <w:rFonts w:ascii="Arial" w:hAnsi="Arial" w:cs="Arial"/>
          <w:sz w:val="22"/>
        </w:rPr>
        <w:fldChar w:fldCharType="begin" w:fldLock="1"/>
      </w:r>
      <w:r w:rsidRPr="0023180E">
        <w:rPr>
          <w:rFonts w:ascii="Arial" w:hAnsi="Arial" w:cs="Arial"/>
          <w:sz w:val="22"/>
        </w:rPr>
        <w:instrText>ADDIN CSL_CITATION {"citationItems":[{"id":"ITEM-1","itemData":{"ISSN":"2045-7758","author":[{"dropping-particle":"","family":"Peham","given":"Thomas","non-dropping-particle":"","parse-names":false,"suffix":""},{"dropping-particle":"","family":"Steiner","given":"Florian M","non-dropping-particle":"","parse-names":false,"suffix":""},{"dropping-particle":"","family":"Schlick</w:instrText>
      </w:r>
      <w:r w:rsidRPr="0023180E">
        <w:rPr>
          <w:rFonts w:ascii="Cambria Math" w:hAnsi="Cambria Math" w:cs="Cambria Math"/>
          <w:sz w:val="22"/>
        </w:rPr>
        <w:instrText>‐</w:instrText>
      </w:r>
      <w:r w:rsidRPr="0023180E">
        <w:rPr>
          <w:rFonts w:ascii="Arial" w:hAnsi="Arial" w:cs="Arial"/>
          <w:sz w:val="22"/>
        </w:rPr>
        <w:instrText>Steiner","given":"Birgit C","non-dropping-particle":"","parse-names":false,"suffix":""},{"dropping-particle":"","family":"Arthofer","given":"Wolfgang","non-dropping-particle":"","parse-names":false,"suffix":""}],"container-title":"Ecology and Evolution","id":"ITEM-1","issued":{"date-parts":[["2017"]]},"publisher":"Wiley Online Library","title":"Are we ready to detect nematode diversity by next generation sequencing?","type":"article-journal"},"uris":["http://www.mendeley.com/documents/?uuid=0fde63cb-df75-4655-8fe5-8552a5a875b5"]}],"mendeley":{"formattedCitation":"(Peham et al., 2017)","plainTextFormattedCitation":"(Peham et al., 2017)","previouslyFormattedCitation":"(Peham et al., 2017)"},"properties":{"noteIndex":0},"schema":"https://github.com/citation-style-language/schema/raw/master/csl-citation.json"}</w:instrText>
      </w:r>
      <w:r w:rsidRPr="0023180E">
        <w:rPr>
          <w:rFonts w:ascii="Arial" w:hAnsi="Arial" w:cs="Arial"/>
          <w:sz w:val="22"/>
        </w:rPr>
        <w:fldChar w:fldCharType="separate"/>
      </w:r>
      <w:r w:rsidRPr="0023180E">
        <w:rPr>
          <w:rFonts w:ascii="Arial" w:hAnsi="Arial" w:cs="Arial"/>
          <w:noProof/>
          <w:sz w:val="22"/>
        </w:rPr>
        <w:t>(Peham et al., 2017)</w:t>
      </w:r>
      <w:r w:rsidRPr="0023180E">
        <w:rPr>
          <w:rFonts w:ascii="Arial" w:hAnsi="Arial" w:cs="Arial"/>
          <w:sz w:val="22"/>
        </w:rPr>
        <w:fldChar w:fldCharType="end"/>
      </w:r>
      <w:r w:rsidRPr="0023180E">
        <w:rPr>
          <w:rFonts w:ascii="Arial" w:hAnsi="Arial" w:cs="Arial"/>
          <w:sz w:val="22"/>
        </w:rPr>
        <w:t xml:space="preserve">, and the implications of this could be the detection of taxa that are no longer an active part of the community. Theoretically, this can be resolved by using RNA instead of DNA for detection, an area that may require some testing and developing in the future. For now, extracting nematodes from the soil first before DNA extraction can help reduce the amount of extracellular DNA. Finally, as has been shown in a number of tests conducted in this study, both rarefied and unrarefied metabarcoding data gave similar outcomes in terms of nematode MI-based indices and trophic composition. The exception may be for agricultural soils where some taxa, particularly the sensitive ones, are rarely recovered in the samples. In such cases, one might opt for unrarefied data to avoid losing these taxa for computing indices and trophic composition.  While this study points to the right direction in terms of the potential of using metabarcoding for monitoring soil health through nematode community indices, further studies may be needed to that focus on soils from natural undisturbed environments in order to better establish the reliability of such approach. </w:t>
      </w:r>
    </w:p>
    <w:p w:rsidR="00164794" w:rsidRPr="008A6E00" w:rsidRDefault="00164794" w:rsidP="00164794">
      <w:pPr>
        <w:spacing w:line="360" w:lineRule="auto"/>
        <w:rPr>
          <w:rFonts w:cs="Arial"/>
          <w:sz w:val="22"/>
        </w:rPr>
      </w:pPr>
    </w:p>
    <w:p w:rsidR="00164794" w:rsidRPr="008A6E00" w:rsidRDefault="00164794" w:rsidP="00164794">
      <w:pPr>
        <w:spacing w:line="360" w:lineRule="auto"/>
        <w:rPr>
          <w:rFonts w:cs="Arial"/>
          <w:sz w:val="22"/>
        </w:rPr>
      </w:pPr>
    </w:p>
    <w:p w:rsidR="00164794" w:rsidRDefault="00164794" w:rsidP="00164794">
      <w:pPr>
        <w:rPr>
          <w:rFonts w:cs="Arial"/>
        </w:rPr>
        <w:sectPr w:rsidR="00164794" w:rsidSect="00164794">
          <w:type w:val="continuous"/>
          <w:pgSz w:w="11900" w:h="16840"/>
          <w:pgMar w:top="1440" w:right="1440" w:bottom="1440" w:left="1440" w:header="720" w:footer="720" w:gutter="0"/>
          <w:cols w:space="720"/>
        </w:sectPr>
      </w:pPr>
    </w:p>
    <w:p w:rsidR="00164794" w:rsidRDefault="00164794" w:rsidP="00164794">
      <w:pPr>
        <w:pStyle w:val="Caption"/>
        <w:rPr>
          <w:rFonts w:cs="Arial"/>
          <w:sz w:val="22"/>
        </w:rPr>
      </w:pPr>
      <w:bookmarkStart w:id="33" w:name="_Ref514827829"/>
      <w:bookmarkStart w:id="34" w:name="_Toc515224103"/>
      <w:r>
        <w:rPr>
          <w:rFonts w:cs="Arial"/>
          <w:sz w:val="22"/>
        </w:rPr>
        <w:lastRenderedPageBreak/>
        <w:t xml:space="preserve">Table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r>
        <w:rPr>
          <w:rFonts w:cs="Arial"/>
          <w:sz w:val="22"/>
        </w:rPr>
        <w:t>.</w:t>
      </w:r>
      <w:r>
        <w:rPr>
          <w:rFonts w:cs="Arial"/>
          <w:sz w:val="22"/>
        </w:rPr>
        <w:fldChar w:fldCharType="begin"/>
      </w:r>
      <w:r>
        <w:rPr>
          <w:rFonts w:cs="Arial"/>
          <w:sz w:val="22"/>
        </w:rPr>
        <w:instrText xml:space="preserve"> SEQ Table \* ARABIC \s 1 </w:instrText>
      </w:r>
      <w:r>
        <w:rPr>
          <w:rFonts w:cs="Arial"/>
          <w:sz w:val="22"/>
        </w:rPr>
        <w:fldChar w:fldCharType="separate"/>
      </w:r>
      <w:r>
        <w:rPr>
          <w:rFonts w:cs="Arial"/>
          <w:noProof/>
          <w:sz w:val="22"/>
        </w:rPr>
        <w:t>3</w:t>
      </w:r>
      <w:r>
        <w:rPr>
          <w:rFonts w:cs="Arial"/>
          <w:sz w:val="22"/>
        </w:rPr>
        <w:fldChar w:fldCharType="end"/>
      </w:r>
      <w:bookmarkEnd w:id="33"/>
      <w:r>
        <w:rPr>
          <w:rFonts w:cs="Arial"/>
          <w:sz w:val="22"/>
        </w:rPr>
        <w:t xml:space="preserve">. Abundance of herbivorous and bacterivorous nematodes recovered from the three depths according to the unrarefied data. Figures within the rows labelled herbivores and bacterivores are mean and standard errors of percentages of the total reads associated with herbivores and bacterivores, respectively. Figures within rows of taxa are actual read numbers associated with each of those taxa. Test of statistical significance was performed using robust ANOVA as implemented in the R function, </w:t>
      </w:r>
      <w:r w:rsidRPr="00782AFF">
        <w:rPr>
          <w:rFonts w:cs="Arial"/>
          <w:i w:val="0"/>
          <w:sz w:val="22"/>
        </w:rPr>
        <w:t>t1wayb</w:t>
      </w:r>
      <w:r>
        <w:rPr>
          <w:rFonts w:cs="Arial"/>
          <w:i w:val="0"/>
          <w:sz w:val="22"/>
        </w:rPr>
        <w:t xml:space="preserve">t </w:t>
      </w:r>
      <w:r>
        <w:rPr>
          <w:rFonts w:cs="Arial"/>
          <w:sz w:val="22"/>
        </w:rPr>
        <w:t xml:space="preserve">within the WRS2 package </w:t>
      </w:r>
      <w:r>
        <w:rPr>
          <w:rFonts w:cs="Arial"/>
          <w:sz w:val="22"/>
        </w:rPr>
        <w:fldChar w:fldCharType="begin" w:fldLock="1"/>
      </w:r>
      <w:r>
        <w:rPr>
          <w:rFonts w:cs="Arial"/>
          <w:sz w:val="22"/>
        </w:rPr>
        <w:instrText>ADDIN CSL_CITATION {"citationItems":[{"id":"ITEM-1","itemData":{"DOI":"https://doi.org/10.1016/B978-0-12-386983-8.00007-X","ISBN":"978-0-12-386983-8","abstract":"This chapter covers one-way, two-way and three-way designs dealing independent groups. Multiple comparisons are covered as are nested designs. R functions are described that can handle the usual global hypotheses associated with main effects and interactions, all pairwise comparisons as well as all linear contrasts relevant to main effects and interactions. Included are robust measures of effect size and two-stage techniques for controlling the length of confidence intervals. A random effects model, based on trimmed means is described. Rank-based methods are covered as well as robust MANOVA methods.  Keywords: Robust ANOVA; robust MANOVA; robust multiple comparisons; bootstrap methods; rank-based methods.","author":[{"dropping-particle":"","family":"Wilcox","given":"Rand","non-dropping-particle":"","parse-names":false,"suffix":""}],"container-title":"Statistical Modeling and Decision Science","id":"ITEM-1","issued":{"date-parts":[["2012"]]},"page":"291-377","publisher":"Academic Press","publisher-place":"Boston","title":"Chapter 7 - One-Way and Higher Designs for Independent Groups BT  - Introduction to Robust Estimation and Hypothesis Testing (Third Edition)","type":"chapter"},"uris":["http://www.mendeley.com/documents/?uuid=ce2e3726-efc5-4f62-8a84-f4a36595f7a7"]}],"mendeley":{"formattedCitation":"(Wilcox, 2012)","plainTextFormattedCitation":"(Wilcox, 2012)","previouslyFormattedCitation":"(Wilcox, 2012)"},"properties":{"noteIndex":0},"schema":"https://github.com/citation-style-language/schema/raw/master/csl-citation.json"}</w:instrText>
      </w:r>
      <w:r>
        <w:rPr>
          <w:rFonts w:cs="Arial"/>
          <w:sz w:val="22"/>
        </w:rPr>
        <w:fldChar w:fldCharType="separate"/>
      </w:r>
      <w:r w:rsidRPr="003A51A7">
        <w:rPr>
          <w:rFonts w:cs="Arial"/>
          <w:i w:val="0"/>
          <w:noProof/>
          <w:sz w:val="22"/>
        </w:rPr>
        <w:t>(Wilcox, 2012)</w:t>
      </w:r>
      <w:r>
        <w:rPr>
          <w:rFonts w:cs="Arial"/>
          <w:sz w:val="22"/>
        </w:rPr>
        <w:fldChar w:fldCharType="end"/>
      </w:r>
      <w:r>
        <w:rPr>
          <w:rFonts w:cs="Arial"/>
          <w:sz w:val="22"/>
        </w:rPr>
        <w:t>.</w:t>
      </w:r>
      <w:bookmarkEnd w:id="3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980"/>
        <w:gridCol w:w="1980"/>
        <w:gridCol w:w="1980"/>
        <w:gridCol w:w="1027"/>
        <w:gridCol w:w="1399"/>
        <w:gridCol w:w="1393"/>
        <w:gridCol w:w="1393"/>
        <w:gridCol w:w="1027"/>
      </w:tblGrid>
      <w:tr w:rsidR="00164794" w:rsidRPr="00504554" w:rsidTr="009F65B3">
        <w:trPr>
          <w:trHeight w:val="261"/>
        </w:trPr>
        <w:tc>
          <w:tcPr>
            <w:tcW w:w="638" w:type="pct"/>
            <w:tcBorders>
              <w:top w:val="single" w:sz="4" w:space="0" w:color="auto"/>
            </w:tcBorders>
          </w:tcPr>
          <w:p w:rsidR="00164794" w:rsidRPr="00504554" w:rsidRDefault="00164794" w:rsidP="009F65B3">
            <w:pPr>
              <w:spacing w:line="276" w:lineRule="auto"/>
              <w:rPr>
                <w:rFonts w:cs="Arial"/>
                <w:b/>
                <w:sz w:val="21"/>
              </w:rPr>
            </w:pPr>
          </w:p>
        </w:tc>
        <w:tc>
          <w:tcPr>
            <w:tcW w:w="2127" w:type="pct"/>
            <w:gridSpan w:val="3"/>
            <w:tcBorders>
              <w:top w:val="single" w:sz="4" w:space="0" w:color="auto"/>
            </w:tcBorders>
            <w:hideMark/>
          </w:tcPr>
          <w:p w:rsidR="00164794" w:rsidRPr="00504554" w:rsidRDefault="00164794" w:rsidP="009F65B3">
            <w:pPr>
              <w:spacing w:line="276" w:lineRule="auto"/>
              <w:jc w:val="center"/>
              <w:rPr>
                <w:rFonts w:cs="Arial"/>
                <w:b/>
                <w:sz w:val="21"/>
              </w:rPr>
            </w:pPr>
            <w:r w:rsidRPr="00504554">
              <w:rPr>
                <w:rFonts w:cs="Arial"/>
                <w:b/>
                <w:sz w:val="21"/>
              </w:rPr>
              <w:t>Metabarcoding</w:t>
            </w:r>
          </w:p>
        </w:tc>
        <w:tc>
          <w:tcPr>
            <w:tcW w:w="368" w:type="pct"/>
            <w:tcBorders>
              <w:top w:val="single" w:sz="4" w:space="0" w:color="auto"/>
            </w:tcBorders>
          </w:tcPr>
          <w:p w:rsidR="00164794" w:rsidRPr="00504554" w:rsidRDefault="00164794" w:rsidP="009F65B3">
            <w:pPr>
              <w:spacing w:line="276" w:lineRule="auto"/>
              <w:jc w:val="center"/>
              <w:rPr>
                <w:rFonts w:cs="Arial"/>
                <w:b/>
                <w:sz w:val="21"/>
              </w:rPr>
            </w:pPr>
          </w:p>
        </w:tc>
        <w:tc>
          <w:tcPr>
            <w:tcW w:w="1499" w:type="pct"/>
            <w:gridSpan w:val="3"/>
            <w:tcBorders>
              <w:top w:val="single" w:sz="4" w:space="0" w:color="auto"/>
            </w:tcBorders>
            <w:hideMark/>
          </w:tcPr>
          <w:p w:rsidR="00164794" w:rsidRPr="00504554" w:rsidRDefault="00164794" w:rsidP="009F65B3">
            <w:pPr>
              <w:spacing w:line="276" w:lineRule="auto"/>
              <w:jc w:val="center"/>
              <w:rPr>
                <w:rFonts w:cs="Arial"/>
                <w:b/>
                <w:sz w:val="21"/>
              </w:rPr>
            </w:pPr>
            <w:r w:rsidRPr="00504554">
              <w:rPr>
                <w:rFonts w:cs="Arial"/>
                <w:b/>
                <w:sz w:val="21"/>
              </w:rPr>
              <w:t>Standard</w:t>
            </w:r>
          </w:p>
        </w:tc>
        <w:tc>
          <w:tcPr>
            <w:tcW w:w="368" w:type="pct"/>
            <w:tcBorders>
              <w:top w:val="single" w:sz="4" w:space="0" w:color="auto"/>
            </w:tcBorders>
          </w:tcPr>
          <w:p w:rsidR="00164794" w:rsidRPr="00504554" w:rsidRDefault="00164794" w:rsidP="009F65B3">
            <w:pPr>
              <w:spacing w:line="276" w:lineRule="auto"/>
              <w:jc w:val="center"/>
              <w:rPr>
                <w:rFonts w:cs="Arial"/>
                <w:b/>
                <w:sz w:val="21"/>
              </w:rPr>
            </w:pPr>
          </w:p>
        </w:tc>
      </w:tr>
      <w:tr w:rsidR="00164794" w:rsidRPr="00504554" w:rsidTr="009F65B3">
        <w:trPr>
          <w:trHeight w:val="261"/>
        </w:trPr>
        <w:tc>
          <w:tcPr>
            <w:tcW w:w="638" w:type="pct"/>
            <w:tcBorders>
              <w:bottom w:val="single" w:sz="4" w:space="0" w:color="auto"/>
            </w:tcBorders>
          </w:tcPr>
          <w:p w:rsidR="00164794" w:rsidRPr="00504554" w:rsidRDefault="00164794" w:rsidP="009F65B3">
            <w:pPr>
              <w:spacing w:line="276" w:lineRule="auto"/>
              <w:jc w:val="both"/>
              <w:rPr>
                <w:rFonts w:cs="Arial"/>
                <w:sz w:val="21"/>
              </w:rPr>
            </w:pPr>
          </w:p>
        </w:tc>
        <w:tc>
          <w:tcPr>
            <w:tcW w:w="70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0-5 cm</w:t>
            </w:r>
          </w:p>
        </w:tc>
        <w:tc>
          <w:tcPr>
            <w:tcW w:w="70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5-15 cm</w:t>
            </w:r>
          </w:p>
        </w:tc>
        <w:tc>
          <w:tcPr>
            <w:tcW w:w="70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15-30 cm</w:t>
            </w:r>
          </w:p>
        </w:tc>
        <w:tc>
          <w:tcPr>
            <w:tcW w:w="368" w:type="pct"/>
            <w:tcBorders>
              <w:bottom w:val="single" w:sz="4" w:space="0" w:color="auto"/>
            </w:tcBorders>
          </w:tcPr>
          <w:p w:rsidR="00164794" w:rsidRPr="00504554" w:rsidRDefault="00164794" w:rsidP="009F65B3">
            <w:pPr>
              <w:spacing w:line="276" w:lineRule="auto"/>
              <w:jc w:val="center"/>
              <w:rPr>
                <w:rFonts w:cs="Arial"/>
                <w:sz w:val="21"/>
              </w:rPr>
            </w:pPr>
            <w:r w:rsidRPr="00EA7649">
              <w:rPr>
                <w:rFonts w:cs="Arial"/>
                <w:i/>
                <w:sz w:val="21"/>
              </w:rPr>
              <w:t>P</w:t>
            </w:r>
            <w:r>
              <w:rPr>
                <w:rFonts w:cs="Arial"/>
                <w:sz w:val="21"/>
              </w:rPr>
              <w:t xml:space="preserve"> values</w:t>
            </w:r>
          </w:p>
        </w:tc>
        <w:tc>
          <w:tcPr>
            <w:tcW w:w="501"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0-5 cm</w:t>
            </w:r>
          </w:p>
        </w:tc>
        <w:tc>
          <w:tcPr>
            <w:tcW w:w="49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5-15 cm</w:t>
            </w:r>
          </w:p>
        </w:tc>
        <w:tc>
          <w:tcPr>
            <w:tcW w:w="49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15-30 cm</w:t>
            </w:r>
          </w:p>
        </w:tc>
        <w:tc>
          <w:tcPr>
            <w:tcW w:w="368" w:type="pct"/>
            <w:tcBorders>
              <w:bottom w:val="single" w:sz="4" w:space="0" w:color="auto"/>
            </w:tcBorders>
          </w:tcPr>
          <w:p w:rsidR="00164794" w:rsidRPr="00E87F65" w:rsidRDefault="00164794" w:rsidP="009F65B3">
            <w:pPr>
              <w:spacing w:line="276" w:lineRule="auto"/>
              <w:jc w:val="center"/>
              <w:rPr>
                <w:rFonts w:cs="Arial"/>
                <w:sz w:val="21"/>
              </w:rPr>
            </w:pPr>
            <w:r w:rsidRPr="00EA7649">
              <w:rPr>
                <w:rFonts w:cs="Arial"/>
                <w:i/>
                <w:sz w:val="21"/>
              </w:rPr>
              <w:t>P</w:t>
            </w:r>
            <w:r>
              <w:rPr>
                <w:rFonts w:cs="Arial"/>
                <w:sz w:val="21"/>
              </w:rPr>
              <w:t xml:space="preserve"> values</w:t>
            </w:r>
          </w:p>
        </w:tc>
      </w:tr>
      <w:tr w:rsidR="00164794" w:rsidRPr="00504554" w:rsidTr="009F65B3">
        <w:trPr>
          <w:trHeight w:val="261"/>
        </w:trPr>
        <w:tc>
          <w:tcPr>
            <w:tcW w:w="638" w:type="pct"/>
            <w:tcBorders>
              <w:top w:val="single" w:sz="4" w:space="0" w:color="auto"/>
            </w:tcBorders>
            <w:hideMark/>
          </w:tcPr>
          <w:p w:rsidR="00164794" w:rsidRPr="00504554" w:rsidRDefault="00164794" w:rsidP="009F65B3">
            <w:pPr>
              <w:spacing w:line="276" w:lineRule="auto"/>
              <w:jc w:val="both"/>
              <w:rPr>
                <w:rFonts w:cs="Arial"/>
                <w:sz w:val="21"/>
              </w:rPr>
            </w:pPr>
            <w:r w:rsidRPr="00504554">
              <w:rPr>
                <w:rFonts w:cs="Arial"/>
                <w:sz w:val="21"/>
              </w:rPr>
              <w:t>Herbivores (%)</w:t>
            </w:r>
          </w:p>
        </w:tc>
        <w:tc>
          <w:tcPr>
            <w:tcW w:w="709" w:type="pct"/>
            <w:tcBorders>
              <w:top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36.69 ± 7.11</w:t>
            </w:r>
          </w:p>
        </w:tc>
        <w:tc>
          <w:tcPr>
            <w:tcW w:w="709" w:type="pct"/>
            <w:tcBorders>
              <w:top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62.98 ± 6.40</w:t>
            </w:r>
          </w:p>
        </w:tc>
        <w:tc>
          <w:tcPr>
            <w:tcW w:w="709" w:type="pct"/>
            <w:tcBorders>
              <w:top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79.69 ± 4.77</w:t>
            </w:r>
          </w:p>
        </w:tc>
        <w:tc>
          <w:tcPr>
            <w:tcW w:w="368" w:type="pct"/>
            <w:tcBorders>
              <w:top w:val="single" w:sz="4" w:space="0" w:color="auto"/>
            </w:tcBorders>
          </w:tcPr>
          <w:p w:rsidR="00164794" w:rsidRPr="00504554" w:rsidRDefault="00164794" w:rsidP="009F65B3">
            <w:pPr>
              <w:spacing w:line="276" w:lineRule="auto"/>
              <w:jc w:val="center"/>
              <w:rPr>
                <w:rFonts w:cs="Arial"/>
                <w:sz w:val="21"/>
              </w:rPr>
            </w:pPr>
            <w:r>
              <w:rPr>
                <w:rFonts w:cs="Arial"/>
                <w:sz w:val="21"/>
              </w:rPr>
              <w:t>&lt;0.01</w:t>
            </w:r>
          </w:p>
        </w:tc>
        <w:tc>
          <w:tcPr>
            <w:tcW w:w="501" w:type="pct"/>
            <w:tcBorders>
              <w:top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35.19 + 3.10</w:t>
            </w:r>
          </w:p>
        </w:tc>
        <w:tc>
          <w:tcPr>
            <w:tcW w:w="499" w:type="pct"/>
            <w:tcBorders>
              <w:top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35.37 ± 3.15</w:t>
            </w:r>
          </w:p>
        </w:tc>
        <w:tc>
          <w:tcPr>
            <w:tcW w:w="499" w:type="pct"/>
            <w:tcBorders>
              <w:top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61.39 ± 2.91</w:t>
            </w:r>
          </w:p>
        </w:tc>
        <w:tc>
          <w:tcPr>
            <w:tcW w:w="368" w:type="pct"/>
            <w:tcBorders>
              <w:top w:val="single" w:sz="4" w:space="0" w:color="auto"/>
            </w:tcBorders>
          </w:tcPr>
          <w:p w:rsidR="00164794" w:rsidRPr="00504554" w:rsidRDefault="00164794" w:rsidP="009F65B3">
            <w:pPr>
              <w:spacing w:line="276" w:lineRule="auto"/>
              <w:jc w:val="center"/>
              <w:rPr>
                <w:rFonts w:cs="Arial"/>
                <w:sz w:val="21"/>
              </w:rPr>
            </w:pPr>
            <w:r>
              <w:rPr>
                <w:rFonts w:cs="Arial"/>
                <w:sz w:val="21"/>
              </w:rPr>
              <w:t>&lt; 0.001</w:t>
            </w:r>
          </w:p>
        </w:tc>
      </w:tr>
      <w:tr w:rsidR="00164794" w:rsidRPr="00504554" w:rsidTr="009F65B3">
        <w:trPr>
          <w:trHeight w:val="261"/>
        </w:trPr>
        <w:tc>
          <w:tcPr>
            <w:tcW w:w="638" w:type="pct"/>
            <w:hideMark/>
          </w:tcPr>
          <w:p w:rsidR="00164794" w:rsidRPr="00504554" w:rsidRDefault="00164794" w:rsidP="009F65B3">
            <w:pPr>
              <w:spacing w:line="276" w:lineRule="auto"/>
              <w:jc w:val="both"/>
              <w:rPr>
                <w:rFonts w:cs="Arial"/>
                <w:i/>
                <w:sz w:val="21"/>
              </w:rPr>
            </w:pPr>
            <w:r w:rsidRPr="00504554">
              <w:rPr>
                <w:rFonts w:cs="Arial"/>
                <w:i/>
                <w:sz w:val="21"/>
              </w:rPr>
              <w:t>Pratylenchus</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0 ± 0</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1261.50 ± 1258.30</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429.39 ± 403. 25</w:t>
            </w:r>
          </w:p>
        </w:tc>
        <w:tc>
          <w:tcPr>
            <w:tcW w:w="368" w:type="pct"/>
          </w:tcPr>
          <w:p w:rsidR="00164794" w:rsidRPr="00504554" w:rsidRDefault="00164794" w:rsidP="009F65B3">
            <w:pPr>
              <w:spacing w:line="276" w:lineRule="auto"/>
              <w:jc w:val="center"/>
              <w:rPr>
                <w:rFonts w:cs="Arial"/>
                <w:sz w:val="21"/>
              </w:rPr>
            </w:pPr>
            <w:r>
              <w:rPr>
                <w:rFonts w:cs="Arial"/>
                <w:sz w:val="21"/>
              </w:rPr>
              <w:t>NA</w:t>
            </w:r>
          </w:p>
        </w:tc>
        <w:tc>
          <w:tcPr>
            <w:tcW w:w="501" w:type="pct"/>
            <w:hideMark/>
          </w:tcPr>
          <w:p w:rsidR="00164794" w:rsidRPr="00504554" w:rsidRDefault="00164794" w:rsidP="009F65B3">
            <w:pPr>
              <w:spacing w:line="276" w:lineRule="auto"/>
              <w:jc w:val="center"/>
              <w:rPr>
                <w:rFonts w:cs="Arial"/>
                <w:sz w:val="21"/>
              </w:rPr>
            </w:pPr>
            <w:r w:rsidRPr="00504554">
              <w:rPr>
                <w:rFonts w:cs="Arial"/>
                <w:sz w:val="21"/>
              </w:rPr>
              <w:t>2.17 ± 0.30</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3.14 ± 0.48</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2.58 ± 0.36</w:t>
            </w:r>
          </w:p>
        </w:tc>
        <w:tc>
          <w:tcPr>
            <w:tcW w:w="368" w:type="pct"/>
          </w:tcPr>
          <w:p w:rsidR="00164794" w:rsidRPr="00504554" w:rsidRDefault="00164794" w:rsidP="009F65B3">
            <w:pPr>
              <w:spacing w:line="276" w:lineRule="auto"/>
              <w:jc w:val="center"/>
              <w:rPr>
                <w:rFonts w:cs="Arial"/>
                <w:sz w:val="21"/>
              </w:rPr>
            </w:pPr>
            <w:r>
              <w:rPr>
                <w:rFonts w:cs="Arial"/>
                <w:sz w:val="21"/>
              </w:rPr>
              <w:t>0.447</w:t>
            </w:r>
          </w:p>
        </w:tc>
      </w:tr>
      <w:tr w:rsidR="00164794" w:rsidRPr="00504554" w:rsidTr="009F65B3">
        <w:trPr>
          <w:trHeight w:val="261"/>
        </w:trPr>
        <w:tc>
          <w:tcPr>
            <w:tcW w:w="638" w:type="pct"/>
            <w:hideMark/>
          </w:tcPr>
          <w:p w:rsidR="00164794" w:rsidRPr="00504554" w:rsidRDefault="00164794" w:rsidP="009F65B3">
            <w:pPr>
              <w:spacing w:line="276" w:lineRule="auto"/>
              <w:jc w:val="both"/>
              <w:rPr>
                <w:rFonts w:cs="Arial"/>
                <w:i/>
                <w:sz w:val="21"/>
              </w:rPr>
            </w:pPr>
            <w:r w:rsidRPr="00504554">
              <w:rPr>
                <w:rFonts w:cs="Arial"/>
                <w:i/>
                <w:sz w:val="21"/>
              </w:rPr>
              <w:t>Tylenchus</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0 ± 0</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453.31 ± 452.76</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0.50 ± 0.33</w:t>
            </w:r>
          </w:p>
        </w:tc>
        <w:tc>
          <w:tcPr>
            <w:tcW w:w="368" w:type="pct"/>
          </w:tcPr>
          <w:p w:rsidR="00164794" w:rsidRPr="00504554" w:rsidRDefault="00164794" w:rsidP="009F65B3">
            <w:pPr>
              <w:spacing w:line="276" w:lineRule="auto"/>
              <w:jc w:val="center"/>
              <w:rPr>
                <w:rFonts w:cs="Arial"/>
                <w:sz w:val="21"/>
              </w:rPr>
            </w:pPr>
            <w:r>
              <w:rPr>
                <w:rFonts w:cs="Arial"/>
                <w:sz w:val="21"/>
              </w:rPr>
              <w:t>NA</w:t>
            </w:r>
          </w:p>
        </w:tc>
        <w:tc>
          <w:tcPr>
            <w:tcW w:w="501" w:type="pct"/>
            <w:hideMark/>
          </w:tcPr>
          <w:p w:rsidR="00164794" w:rsidRPr="00504554" w:rsidRDefault="00164794" w:rsidP="009F65B3">
            <w:pPr>
              <w:spacing w:line="276" w:lineRule="auto"/>
              <w:jc w:val="center"/>
              <w:rPr>
                <w:rFonts w:cs="Arial"/>
                <w:sz w:val="21"/>
              </w:rPr>
            </w:pPr>
            <w:r w:rsidRPr="00504554">
              <w:rPr>
                <w:rFonts w:cs="Arial"/>
                <w:sz w:val="21"/>
              </w:rPr>
              <w:t>1.22 ± 0.24</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3.72 ± 0.55</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8.17 ± 1.24</w:t>
            </w:r>
          </w:p>
        </w:tc>
        <w:tc>
          <w:tcPr>
            <w:tcW w:w="368" w:type="pct"/>
          </w:tcPr>
          <w:p w:rsidR="00164794" w:rsidRPr="00504554" w:rsidRDefault="00164794" w:rsidP="009F65B3">
            <w:pPr>
              <w:spacing w:line="276" w:lineRule="auto"/>
              <w:jc w:val="center"/>
              <w:rPr>
                <w:rFonts w:cs="Arial"/>
                <w:sz w:val="21"/>
              </w:rPr>
            </w:pPr>
            <w:r>
              <w:rPr>
                <w:rFonts w:cs="Arial"/>
                <w:sz w:val="21"/>
              </w:rPr>
              <w:t>&lt; 0.001</w:t>
            </w:r>
          </w:p>
        </w:tc>
      </w:tr>
      <w:tr w:rsidR="00164794" w:rsidRPr="00504554" w:rsidTr="009F65B3">
        <w:trPr>
          <w:trHeight w:val="261"/>
        </w:trPr>
        <w:tc>
          <w:tcPr>
            <w:tcW w:w="638" w:type="pct"/>
            <w:hideMark/>
          </w:tcPr>
          <w:p w:rsidR="00164794" w:rsidRPr="00504554" w:rsidRDefault="00164794" w:rsidP="009F65B3">
            <w:pPr>
              <w:spacing w:line="276" w:lineRule="auto"/>
              <w:jc w:val="both"/>
              <w:rPr>
                <w:rFonts w:cs="Arial"/>
                <w:i/>
                <w:sz w:val="21"/>
              </w:rPr>
            </w:pPr>
            <w:r w:rsidRPr="00504554">
              <w:rPr>
                <w:rFonts w:cs="Arial"/>
                <w:i/>
                <w:sz w:val="21"/>
              </w:rPr>
              <w:t>Paratylenchus</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36.19 ± 35.88</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48.638 ± 24.578</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2568.94 ± 1207.82</w:t>
            </w:r>
          </w:p>
        </w:tc>
        <w:tc>
          <w:tcPr>
            <w:tcW w:w="368" w:type="pct"/>
          </w:tcPr>
          <w:p w:rsidR="00164794" w:rsidRPr="00504554" w:rsidRDefault="00164794" w:rsidP="009F65B3">
            <w:pPr>
              <w:spacing w:line="276" w:lineRule="auto"/>
              <w:jc w:val="center"/>
              <w:rPr>
                <w:rFonts w:cs="Arial"/>
                <w:sz w:val="21"/>
              </w:rPr>
            </w:pPr>
            <w:r>
              <w:rPr>
                <w:rFonts w:cs="Arial"/>
                <w:sz w:val="21"/>
              </w:rPr>
              <w:t>NA</w:t>
            </w:r>
          </w:p>
        </w:tc>
        <w:tc>
          <w:tcPr>
            <w:tcW w:w="501" w:type="pct"/>
            <w:hideMark/>
          </w:tcPr>
          <w:p w:rsidR="00164794" w:rsidRPr="00504554" w:rsidRDefault="00164794" w:rsidP="009F65B3">
            <w:pPr>
              <w:spacing w:line="276" w:lineRule="auto"/>
              <w:jc w:val="center"/>
              <w:rPr>
                <w:rFonts w:cs="Arial"/>
                <w:sz w:val="21"/>
              </w:rPr>
            </w:pPr>
            <w:r w:rsidRPr="00504554">
              <w:rPr>
                <w:rFonts w:cs="Arial"/>
                <w:sz w:val="21"/>
              </w:rPr>
              <w:t>7.47 ± 1.52</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5.77 ± 0.99</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13.47 ± 1.46</w:t>
            </w:r>
          </w:p>
        </w:tc>
        <w:tc>
          <w:tcPr>
            <w:tcW w:w="368" w:type="pct"/>
          </w:tcPr>
          <w:p w:rsidR="00164794" w:rsidRPr="00504554" w:rsidRDefault="00164794" w:rsidP="009F65B3">
            <w:pPr>
              <w:spacing w:line="276" w:lineRule="auto"/>
              <w:jc w:val="center"/>
              <w:rPr>
                <w:rFonts w:cs="Arial"/>
                <w:sz w:val="21"/>
              </w:rPr>
            </w:pPr>
            <w:r>
              <w:rPr>
                <w:rFonts w:cs="Arial"/>
                <w:sz w:val="21"/>
              </w:rPr>
              <w:t>&lt; 0.001</w:t>
            </w:r>
          </w:p>
        </w:tc>
      </w:tr>
      <w:tr w:rsidR="00164794" w:rsidRPr="00504554" w:rsidTr="009F65B3">
        <w:trPr>
          <w:trHeight w:val="261"/>
        </w:trPr>
        <w:tc>
          <w:tcPr>
            <w:tcW w:w="638" w:type="pct"/>
            <w:hideMark/>
          </w:tcPr>
          <w:p w:rsidR="00164794" w:rsidRPr="00504554" w:rsidRDefault="00164794" w:rsidP="009F65B3">
            <w:pPr>
              <w:spacing w:line="276" w:lineRule="auto"/>
              <w:jc w:val="both"/>
              <w:rPr>
                <w:rFonts w:cs="Arial"/>
                <w:sz w:val="21"/>
              </w:rPr>
            </w:pPr>
            <w:r w:rsidRPr="00504554">
              <w:rPr>
                <w:rFonts w:cs="Arial"/>
                <w:sz w:val="21"/>
              </w:rPr>
              <w:t>Bacterivores (%)</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52.67 ± 7.15</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27.28 ± 5.83</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13.42 ± 4.12</w:t>
            </w:r>
          </w:p>
        </w:tc>
        <w:tc>
          <w:tcPr>
            <w:tcW w:w="368" w:type="pct"/>
          </w:tcPr>
          <w:p w:rsidR="00164794" w:rsidRPr="00504554" w:rsidRDefault="00164794" w:rsidP="009F65B3">
            <w:pPr>
              <w:spacing w:line="276" w:lineRule="auto"/>
              <w:jc w:val="center"/>
              <w:rPr>
                <w:rFonts w:cs="Arial"/>
                <w:sz w:val="21"/>
              </w:rPr>
            </w:pPr>
            <w:r>
              <w:rPr>
                <w:rFonts w:cs="Arial"/>
                <w:sz w:val="21"/>
              </w:rPr>
              <w:t>&lt;0.01</w:t>
            </w:r>
          </w:p>
        </w:tc>
        <w:tc>
          <w:tcPr>
            <w:tcW w:w="501" w:type="pct"/>
            <w:hideMark/>
          </w:tcPr>
          <w:p w:rsidR="00164794" w:rsidRPr="00504554" w:rsidRDefault="00164794" w:rsidP="009F65B3">
            <w:pPr>
              <w:spacing w:line="276" w:lineRule="auto"/>
              <w:jc w:val="center"/>
              <w:rPr>
                <w:rFonts w:cs="Arial"/>
                <w:sz w:val="21"/>
              </w:rPr>
            </w:pPr>
            <w:r w:rsidRPr="00504554">
              <w:rPr>
                <w:rFonts w:cs="Arial"/>
                <w:sz w:val="21"/>
              </w:rPr>
              <w:t>50.62 ± 2.64</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54.47 ± 3.21</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29.86 ± 3.09</w:t>
            </w:r>
          </w:p>
        </w:tc>
        <w:tc>
          <w:tcPr>
            <w:tcW w:w="368" w:type="pct"/>
          </w:tcPr>
          <w:p w:rsidR="00164794" w:rsidRPr="00504554" w:rsidRDefault="00164794" w:rsidP="009F65B3">
            <w:pPr>
              <w:spacing w:line="276" w:lineRule="auto"/>
              <w:jc w:val="center"/>
              <w:rPr>
                <w:rFonts w:cs="Arial"/>
                <w:sz w:val="21"/>
              </w:rPr>
            </w:pPr>
            <w:r>
              <w:rPr>
                <w:rFonts w:cs="Arial"/>
                <w:sz w:val="21"/>
              </w:rPr>
              <w:t>&lt; 0.001</w:t>
            </w:r>
          </w:p>
        </w:tc>
      </w:tr>
      <w:tr w:rsidR="00164794" w:rsidRPr="00504554" w:rsidTr="009F65B3">
        <w:trPr>
          <w:trHeight w:val="261"/>
        </w:trPr>
        <w:tc>
          <w:tcPr>
            <w:tcW w:w="638" w:type="pct"/>
            <w:hideMark/>
          </w:tcPr>
          <w:p w:rsidR="00164794" w:rsidRPr="00504554" w:rsidRDefault="00164794" w:rsidP="009F65B3">
            <w:pPr>
              <w:spacing w:line="276" w:lineRule="auto"/>
              <w:jc w:val="both"/>
              <w:rPr>
                <w:rFonts w:cs="Arial"/>
                <w:i/>
                <w:sz w:val="21"/>
              </w:rPr>
            </w:pPr>
            <w:r w:rsidRPr="00504554">
              <w:rPr>
                <w:rFonts w:cs="Arial"/>
                <w:i/>
                <w:sz w:val="21"/>
              </w:rPr>
              <w:t>Rhabditis</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5.94 ± 3.22</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725.06 ± 389.89</w:t>
            </w:r>
          </w:p>
        </w:tc>
        <w:tc>
          <w:tcPr>
            <w:tcW w:w="709" w:type="pct"/>
            <w:hideMark/>
          </w:tcPr>
          <w:p w:rsidR="00164794" w:rsidRPr="00504554" w:rsidRDefault="00164794" w:rsidP="009F65B3">
            <w:pPr>
              <w:spacing w:line="276" w:lineRule="auto"/>
              <w:jc w:val="center"/>
              <w:rPr>
                <w:rFonts w:cs="Arial"/>
                <w:sz w:val="21"/>
              </w:rPr>
            </w:pPr>
            <w:r w:rsidRPr="00504554">
              <w:rPr>
                <w:rFonts w:cs="Arial"/>
                <w:sz w:val="21"/>
              </w:rPr>
              <w:t>1017.08 ± 696.66</w:t>
            </w:r>
          </w:p>
        </w:tc>
        <w:tc>
          <w:tcPr>
            <w:tcW w:w="368" w:type="pct"/>
          </w:tcPr>
          <w:p w:rsidR="00164794" w:rsidRPr="00504554" w:rsidRDefault="00164794" w:rsidP="009F65B3">
            <w:pPr>
              <w:spacing w:line="276" w:lineRule="auto"/>
              <w:jc w:val="center"/>
              <w:rPr>
                <w:rFonts w:cs="Arial"/>
                <w:sz w:val="21"/>
              </w:rPr>
            </w:pPr>
            <w:r w:rsidRPr="00932A13">
              <w:rPr>
                <w:rFonts w:cs="Arial"/>
                <w:sz w:val="21"/>
              </w:rPr>
              <w:t>0.427</w:t>
            </w:r>
          </w:p>
        </w:tc>
        <w:tc>
          <w:tcPr>
            <w:tcW w:w="501" w:type="pct"/>
            <w:hideMark/>
          </w:tcPr>
          <w:p w:rsidR="00164794" w:rsidRPr="00504554" w:rsidRDefault="00164794" w:rsidP="009F65B3">
            <w:pPr>
              <w:spacing w:line="276" w:lineRule="auto"/>
              <w:jc w:val="center"/>
              <w:rPr>
                <w:rFonts w:cs="Arial"/>
                <w:sz w:val="21"/>
              </w:rPr>
            </w:pPr>
            <w:r w:rsidRPr="00504554">
              <w:rPr>
                <w:rFonts w:cs="Arial"/>
                <w:sz w:val="21"/>
              </w:rPr>
              <w:t>5.64 ± 0.86</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1.14 ± 0.64</w:t>
            </w:r>
          </w:p>
        </w:tc>
        <w:tc>
          <w:tcPr>
            <w:tcW w:w="499" w:type="pct"/>
            <w:hideMark/>
          </w:tcPr>
          <w:p w:rsidR="00164794" w:rsidRPr="00504554" w:rsidRDefault="00164794" w:rsidP="009F65B3">
            <w:pPr>
              <w:spacing w:line="276" w:lineRule="auto"/>
              <w:jc w:val="center"/>
              <w:rPr>
                <w:rFonts w:cs="Arial"/>
                <w:sz w:val="21"/>
              </w:rPr>
            </w:pPr>
            <w:r w:rsidRPr="00504554">
              <w:rPr>
                <w:rFonts w:cs="Arial"/>
                <w:sz w:val="21"/>
              </w:rPr>
              <w:t>0.03 ± 0.03</w:t>
            </w:r>
          </w:p>
        </w:tc>
        <w:tc>
          <w:tcPr>
            <w:tcW w:w="368" w:type="pct"/>
          </w:tcPr>
          <w:p w:rsidR="00164794" w:rsidRPr="00504554" w:rsidRDefault="00164794" w:rsidP="009F65B3">
            <w:pPr>
              <w:spacing w:line="276" w:lineRule="auto"/>
              <w:jc w:val="center"/>
              <w:rPr>
                <w:rFonts w:cs="Arial"/>
                <w:sz w:val="21"/>
              </w:rPr>
            </w:pPr>
            <w:r>
              <w:rPr>
                <w:rFonts w:cs="Arial"/>
                <w:sz w:val="21"/>
              </w:rPr>
              <w:t>NA</w:t>
            </w:r>
          </w:p>
        </w:tc>
      </w:tr>
      <w:tr w:rsidR="00164794" w:rsidRPr="00504554" w:rsidTr="009F65B3">
        <w:trPr>
          <w:trHeight w:val="261"/>
        </w:trPr>
        <w:tc>
          <w:tcPr>
            <w:tcW w:w="638" w:type="pct"/>
            <w:tcBorders>
              <w:bottom w:val="single" w:sz="4" w:space="0" w:color="auto"/>
            </w:tcBorders>
            <w:hideMark/>
          </w:tcPr>
          <w:p w:rsidR="00164794" w:rsidRPr="00504554" w:rsidRDefault="00164794" w:rsidP="009F65B3">
            <w:pPr>
              <w:spacing w:line="276" w:lineRule="auto"/>
              <w:jc w:val="both"/>
              <w:rPr>
                <w:rFonts w:cs="Arial"/>
                <w:i/>
                <w:sz w:val="21"/>
              </w:rPr>
            </w:pPr>
            <w:r w:rsidRPr="00504554">
              <w:rPr>
                <w:rFonts w:cs="Arial"/>
                <w:i/>
                <w:sz w:val="21"/>
              </w:rPr>
              <w:t>Eucephalobus</w:t>
            </w:r>
          </w:p>
        </w:tc>
        <w:tc>
          <w:tcPr>
            <w:tcW w:w="70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3658.81 ± 1815.22</w:t>
            </w:r>
          </w:p>
        </w:tc>
        <w:tc>
          <w:tcPr>
            <w:tcW w:w="70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1151.56 ± 1016.83</w:t>
            </w:r>
          </w:p>
        </w:tc>
        <w:tc>
          <w:tcPr>
            <w:tcW w:w="70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1.05 ± 0.40</w:t>
            </w:r>
          </w:p>
        </w:tc>
        <w:tc>
          <w:tcPr>
            <w:tcW w:w="368" w:type="pct"/>
            <w:tcBorders>
              <w:bottom w:val="single" w:sz="4" w:space="0" w:color="auto"/>
            </w:tcBorders>
          </w:tcPr>
          <w:p w:rsidR="00164794" w:rsidRPr="00504554" w:rsidRDefault="00164794" w:rsidP="009F65B3">
            <w:pPr>
              <w:spacing w:line="276" w:lineRule="auto"/>
              <w:jc w:val="center"/>
              <w:rPr>
                <w:rFonts w:cs="Arial"/>
                <w:sz w:val="21"/>
              </w:rPr>
            </w:pPr>
            <w:r w:rsidRPr="00932A13">
              <w:rPr>
                <w:rFonts w:cs="Arial"/>
                <w:sz w:val="21"/>
              </w:rPr>
              <w:t>0.64</w:t>
            </w:r>
            <w:r>
              <w:rPr>
                <w:rFonts w:cs="Arial"/>
                <w:sz w:val="21"/>
              </w:rPr>
              <w:t>3</w:t>
            </w:r>
          </w:p>
        </w:tc>
        <w:tc>
          <w:tcPr>
            <w:tcW w:w="501"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11.06 ± 1.14</w:t>
            </w:r>
          </w:p>
        </w:tc>
        <w:tc>
          <w:tcPr>
            <w:tcW w:w="49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0.53 ± 0.13</w:t>
            </w:r>
          </w:p>
        </w:tc>
        <w:tc>
          <w:tcPr>
            <w:tcW w:w="499" w:type="pct"/>
            <w:tcBorders>
              <w:bottom w:val="single" w:sz="4" w:space="0" w:color="auto"/>
            </w:tcBorders>
            <w:hideMark/>
          </w:tcPr>
          <w:p w:rsidR="00164794" w:rsidRPr="00504554" w:rsidRDefault="00164794" w:rsidP="009F65B3">
            <w:pPr>
              <w:spacing w:line="276" w:lineRule="auto"/>
              <w:jc w:val="center"/>
              <w:rPr>
                <w:rFonts w:cs="Arial"/>
                <w:sz w:val="21"/>
              </w:rPr>
            </w:pPr>
            <w:r w:rsidRPr="00504554">
              <w:rPr>
                <w:rFonts w:cs="Arial"/>
                <w:sz w:val="21"/>
              </w:rPr>
              <w:t>3.36 ± 0.48</w:t>
            </w:r>
          </w:p>
        </w:tc>
        <w:tc>
          <w:tcPr>
            <w:tcW w:w="368" w:type="pct"/>
            <w:tcBorders>
              <w:bottom w:val="single" w:sz="4" w:space="0" w:color="auto"/>
            </w:tcBorders>
          </w:tcPr>
          <w:p w:rsidR="00164794" w:rsidRPr="00504554" w:rsidRDefault="00164794" w:rsidP="009F65B3">
            <w:pPr>
              <w:spacing w:line="276" w:lineRule="auto"/>
              <w:jc w:val="center"/>
              <w:rPr>
                <w:rFonts w:cs="Arial"/>
                <w:sz w:val="21"/>
              </w:rPr>
            </w:pPr>
            <w:r>
              <w:rPr>
                <w:rFonts w:cs="Arial"/>
                <w:sz w:val="21"/>
              </w:rPr>
              <w:t>&lt; 0.001</w:t>
            </w:r>
          </w:p>
        </w:tc>
      </w:tr>
    </w:tbl>
    <w:p w:rsidR="00164794" w:rsidRDefault="00164794" w:rsidP="00164794">
      <w:pPr>
        <w:jc w:val="both"/>
        <w:rPr>
          <w:rFonts w:cs="Arial"/>
          <w:i/>
          <w:iCs/>
          <w:color w:val="44546A" w:themeColor="text2"/>
          <w:sz w:val="22"/>
          <w:szCs w:val="18"/>
        </w:rPr>
      </w:pPr>
    </w:p>
    <w:p w:rsidR="00164794" w:rsidRDefault="00164794" w:rsidP="00164794">
      <w:pPr>
        <w:pStyle w:val="Caption"/>
        <w:rPr>
          <w:rFonts w:cs="Arial"/>
          <w:sz w:val="22"/>
        </w:rPr>
      </w:pPr>
      <w:bookmarkStart w:id="35" w:name="_Ref514827834"/>
      <w:bookmarkStart w:id="36" w:name="_Toc515224104"/>
      <w:r>
        <w:rPr>
          <w:rFonts w:cs="Arial"/>
          <w:sz w:val="22"/>
        </w:rPr>
        <w:t xml:space="preserve">Table </w:t>
      </w:r>
      <w:r>
        <w:rPr>
          <w:rFonts w:cs="Arial"/>
          <w:sz w:val="22"/>
        </w:rPr>
        <w:fldChar w:fldCharType="begin"/>
      </w:r>
      <w:r>
        <w:rPr>
          <w:rFonts w:cs="Arial"/>
          <w:sz w:val="22"/>
        </w:rPr>
        <w:instrText xml:space="preserve"> STYLEREF 1 \s </w:instrText>
      </w:r>
      <w:r>
        <w:rPr>
          <w:rFonts w:cs="Arial"/>
          <w:sz w:val="22"/>
        </w:rPr>
        <w:fldChar w:fldCharType="separate"/>
      </w:r>
      <w:r>
        <w:rPr>
          <w:rFonts w:cs="Arial"/>
          <w:noProof/>
          <w:sz w:val="22"/>
        </w:rPr>
        <w:t>7</w:t>
      </w:r>
      <w:r>
        <w:rPr>
          <w:rFonts w:cs="Arial"/>
          <w:sz w:val="22"/>
        </w:rPr>
        <w:fldChar w:fldCharType="end"/>
      </w:r>
      <w:r>
        <w:rPr>
          <w:rFonts w:cs="Arial"/>
          <w:sz w:val="22"/>
        </w:rPr>
        <w:t>.</w:t>
      </w:r>
      <w:r>
        <w:rPr>
          <w:rFonts w:cs="Arial"/>
          <w:sz w:val="22"/>
        </w:rPr>
        <w:fldChar w:fldCharType="begin"/>
      </w:r>
      <w:r>
        <w:rPr>
          <w:rFonts w:cs="Arial"/>
          <w:sz w:val="22"/>
        </w:rPr>
        <w:instrText xml:space="preserve"> SEQ Table \* ARABIC \s 1 </w:instrText>
      </w:r>
      <w:r>
        <w:rPr>
          <w:rFonts w:cs="Arial"/>
          <w:sz w:val="22"/>
        </w:rPr>
        <w:fldChar w:fldCharType="separate"/>
      </w:r>
      <w:r>
        <w:rPr>
          <w:rFonts w:cs="Arial"/>
          <w:noProof/>
          <w:sz w:val="22"/>
        </w:rPr>
        <w:t>4</w:t>
      </w:r>
      <w:r>
        <w:rPr>
          <w:rFonts w:cs="Arial"/>
          <w:sz w:val="22"/>
        </w:rPr>
        <w:fldChar w:fldCharType="end"/>
      </w:r>
      <w:bookmarkEnd w:id="35"/>
      <w:r>
        <w:rPr>
          <w:rFonts w:cs="Arial"/>
          <w:sz w:val="22"/>
        </w:rPr>
        <w:t xml:space="preserve">. Abundance of herbivorous and bacterivorous nematodes recovered from the three depths according to the rarefied data. Figures within the rows labelled herbivores and bacterivores are means and standard errors of percentages of the total reads associated with herbivores and bacterivores, respectively. Figures within rows of taxa are actual read numbers associated with each of those taxa. Test of statistical significance was performed using robust ANOVA as implemented in the R function, </w:t>
      </w:r>
      <w:r w:rsidRPr="00782AFF">
        <w:rPr>
          <w:rFonts w:cs="Arial"/>
          <w:i w:val="0"/>
          <w:sz w:val="22"/>
        </w:rPr>
        <w:t>t1wayb</w:t>
      </w:r>
      <w:r>
        <w:rPr>
          <w:rFonts w:cs="Arial"/>
          <w:i w:val="0"/>
          <w:sz w:val="22"/>
        </w:rPr>
        <w:t xml:space="preserve">t </w:t>
      </w:r>
      <w:r>
        <w:rPr>
          <w:rFonts w:cs="Arial"/>
          <w:sz w:val="22"/>
        </w:rPr>
        <w:t xml:space="preserve">within the WRS2 package </w:t>
      </w:r>
      <w:r>
        <w:rPr>
          <w:rFonts w:cs="Arial"/>
          <w:sz w:val="22"/>
        </w:rPr>
        <w:fldChar w:fldCharType="begin" w:fldLock="1"/>
      </w:r>
      <w:r>
        <w:rPr>
          <w:rFonts w:cs="Arial"/>
          <w:sz w:val="22"/>
        </w:rPr>
        <w:instrText>ADDIN CSL_CITATION {"citationItems":[{"id":"ITEM-1","itemData":{"DOI":"https://doi.org/10.1016/B978-0-12-386983-8.00007-X","ISBN":"978-0-12-386983-8","abstract":"This chapter covers one-way, two-way and three-way designs dealing independent groups. Multiple comparisons are covered as are nested designs. R functions are described that can handle the usual global hypotheses associated with main effects and interactions, all pairwise comparisons as well as all linear contrasts relevant to main effects and interactions. Included are robust measures of effect size and two-stage techniques for controlling the length of confidence intervals. A random effects model, based on trimmed means is described. Rank-based methods are covered as well as robust MANOVA methods.  Keywords: Robust ANOVA; robust MANOVA; robust multiple comparisons; bootstrap methods; rank-based methods.","author":[{"dropping-particle":"","family":"Wilcox","given":"Rand","non-dropping-particle":"","parse-names":false,"suffix":""}],"container-title":"Statistical Modeling and Decision Science","id":"ITEM-1","issued":{"date-parts":[["2012"]]},"page":"291-377","publisher":"Academic Press","publisher-place":"Boston","title":"Chapter 7 - One-Way and Higher Designs for Independent Groups BT  - Introduction to Robust Estimation and Hypothesis Testing (Third Edition)","type":"chapter"},"uris":["http://www.mendeley.com/documents/?uuid=ce2e3726-efc5-4f62-8a84-f4a36595f7a7"]}],"mendeley":{"formattedCitation":"(Wilcox, 2012)","plainTextFormattedCitation":"(Wilcox, 2012)","previouslyFormattedCitation":"(Wilcox, 2012)"},"properties":{"noteIndex":0},"schema":"https://github.com/citation-style-language/schema/raw/master/csl-citation.json"}</w:instrText>
      </w:r>
      <w:r>
        <w:rPr>
          <w:rFonts w:cs="Arial"/>
          <w:sz w:val="22"/>
        </w:rPr>
        <w:fldChar w:fldCharType="separate"/>
      </w:r>
      <w:r w:rsidRPr="003A51A7">
        <w:rPr>
          <w:rFonts w:cs="Arial"/>
          <w:i w:val="0"/>
          <w:noProof/>
          <w:sz w:val="22"/>
        </w:rPr>
        <w:t>(Wilcox, 2012)</w:t>
      </w:r>
      <w:r>
        <w:rPr>
          <w:rFonts w:cs="Arial"/>
          <w:sz w:val="22"/>
        </w:rPr>
        <w:fldChar w:fldCharType="end"/>
      </w:r>
      <w:r>
        <w:rPr>
          <w:rFonts w:cs="Arial"/>
          <w:sz w:val="22"/>
        </w:rPr>
        <w:t>.</w:t>
      </w:r>
      <w:bookmarkEnd w:id="36"/>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1583"/>
        <w:gridCol w:w="1583"/>
        <w:gridCol w:w="1583"/>
        <w:gridCol w:w="1217"/>
        <w:gridCol w:w="1591"/>
        <w:gridCol w:w="1583"/>
        <w:gridCol w:w="1583"/>
        <w:gridCol w:w="1215"/>
      </w:tblGrid>
      <w:tr w:rsidR="00164794" w:rsidRPr="00273B7F" w:rsidTr="009F65B3">
        <w:trPr>
          <w:trHeight w:val="261"/>
        </w:trPr>
        <w:tc>
          <w:tcPr>
            <w:tcW w:w="724" w:type="pct"/>
          </w:tcPr>
          <w:p w:rsidR="00164794" w:rsidRPr="00273B7F" w:rsidRDefault="00164794" w:rsidP="009F65B3">
            <w:pPr>
              <w:spacing w:line="276" w:lineRule="auto"/>
              <w:jc w:val="center"/>
              <w:rPr>
                <w:rFonts w:cs="Arial"/>
                <w:b/>
                <w:sz w:val="20"/>
              </w:rPr>
            </w:pPr>
          </w:p>
        </w:tc>
        <w:tc>
          <w:tcPr>
            <w:tcW w:w="1700" w:type="pct"/>
            <w:gridSpan w:val="3"/>
            <w:hideMark/>
          </w:tcPr>
          <w:p w:rsidR="00164794" w:rsidRPr="00273B7F" w:rsidRDefault="00164794" w:rsidP="009F65B3">
            <w:pPr>
              <w:spacing w:line="276" w:lineRule="auto"/>
              <w:jc w:val="center"/>
              <w:rPr>
                <w:rFonts w:cs="Arial"/>
                <w:b/>
                <w:sz w:val="20"/>
              </w:rPr>
            </w:pPr>
            <w:r w:rsidRPr="00273B7F">
              <w:rPr>
                <w:rFonts w:cs="Arial"/>
                <w:b/>
                <w:sz w:val="20"/>
              </w:rPr>
              <w:t>Metabarcoding</w:t>
            </w:r>
          </w:p>
        </w:tc>
        <w:tc>
          <w:tcPr>
            <w:tcW w:w="436" w:type="pct"/>
          </w:tcPr>
          <w:p w:rsidR="00164794" w:rsidRPr="00273B7F" w:rsidRDefault="00164794" w:rsidP="009F65B3">
            <w:pPr>
              <w:spacing w:line="276" w:lineRule="auto"/>
              <w:jc w:val="center"/>
              <w:rPr>
                <w:rFonts w:cs="Arial"/>
                <w:b/>
                <w:sz w:val="20"/>
              </w:rPr>
            </w:pPr>
          </w:p>
        </w:tc>
        <w:tc>
          <w:tcPr>
            <w:tcW w:w="1703" w:type="pct"/>
            <w:gridSpan w:val="3"/>
            <w:hideMark/>
          </w:tcPr>
          <w:p w:rsidR="00164794" w:rsidRPr="00273B7F" w:rsidRDefault="00164794" w:rsidP="009F65B3">
            <w:pPr>
              <w:spacing w:line="276" w:lineRule="auto"/>
              <w:jc w:val="center"/>
              <w:rPr>
                <w:rFonts w:cs="Arial"/>
                <w:b/>
                <w:sz w:val="20"/>
              </w:rPr>
            </w:pPr>
            <w:r w:rsidRPr="00273B7F">
              <w:rPr>
                <w:rFonts w:cs="Arial"/>
                <w:b/>
                <w:sz w:val="20"/>
              </w:rPr>
              <w:t>Standard</w:t>
            </w:r>
          </w:p>
        </w:tc>
        <w:tc>
          <w:tcPr>
            <w:tcW w:w="436" w:type="pct"/>
          </w:tcPr>
          <w:p w:rsidR="00164794" w:rsidRPr="00273B7F" w:rsidRDefault="00164794" w:rsidP="009F65B3">
            <w:pPr>
              <w:spacing w:line="276" w:lineRule="auto"/>
              <w:jc w:val="center"/>
              <w:rPr>
                <w:rFonts w:cs="Arial"/>
                <w:b/>
                <w:sz w:val="20"/>
              </w:rPr>
            </w:pPr>
          </w:p>
        </w:tc>
      </w:tr>
      <w:tr w:rsidR="00164794" w:rsidRPr="00273B7F" w:rsidTr="009F65B3">
        <w:trPr>
          <w:trHeight w:val="261"/>
        </w:trPr>
        <w:tc>
          <w:tcPr>
            <w:tcW w:w="724" w:type="pct"/>
            <w:tcBorders>
              <w:bottom w:val="single" w:sz="4" w:space="0" w:color="auto"/>
            </w:tcBorders>
          </w:tcPr>
          <w:p w:rsidR="00164794" w:rsidRPr="00273B7F" w:rsidRDefault="00164794" w:rsidP="009F65B3">
            <w:pPr>
              <w:spacing w:line="276" w:lineRule="auto"/>
              <w:jc w:val="both"/>
              <w:rPr>
                <w:rFonts w:cs="Arial"/>
                <w:sz w:val="20"/>
              </w:rPr>
            </w:pPr>
          </w:p>
        </w:tc>
        <w:tc>
          <w:tcPr>
            <w:tcW w:w="567" w:type="pct"/>
            <w:tcBorders>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0-5 cm</w:t>
            </w:r>
          </w:p>
        </w:tc>
        <w:tc>
          <w:tcPr>
            <w:tcW w:w="567" w:type="pct"/>
            <w:tcBorders>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5-15 cm</w:t>
            </w:r>
          </w:p>
        </w:tc>
        <w:tc>
          <w:tcPr>
            <w:tcW w:w="567" w:type="pct"/>
            <w:tcBorders>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15-30 cm</w:t>
            </w:r>
          </w:p>
        </w:tc>
        <w:tc>
          <w:tcPr>
            <w:tcW w:w="436" w:type="pct"/>
            <w:tcBorders>
              <w:bottom w:val="single" w:sz="4" w:space="0" w:color="auto"/>
            </w:tcBorders>
          </w:tcPr>
          <w:p w:rsidR="00164794" w:rsidRPr="00273B7F" w:rsidRDefault="00164794" w:rsidP="009F65B3">
            <w:pPr>
              <w:spacing w:line="276" w:lineRule="auto"/>
              <w:jc w:val="center"/>
              <w:rPr>
                <w:rFonts w:cs="Arial"/>
                <w:sz w:val="20"/>
              </w:rPr>
            </w:pPr>
            <w:r w:rsidRPr="00EA7649">
              <w:rPr>
                <w:rFonts w:cs="Arial"/>
                <w:i/>
                <w:sz w:val="21"/>
              </w:rPr>
              <w:t>P</w:t>
            </w:r>
            <w:r>
              <w:rPr>
                <w:rFonts w:cs="Arial"/>
                <w:sz w:val="21"/>
              </w:rPr>
              <w:t xml:space="preserve"> values</w:t>
            </w:r>
          </w:p>
        </w:tc>
        <w:tc>
          <w:tcPr>
            <w:tcW w:w="570" w:type="pct"/>
            <w:tcBorders>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0-5 cm</w:t>
            </w:r>
          </w:p>
        </w:tc>
        <w:tc>
          <w:tcPr>
            <w:tcW w:w="567" w:type="pct"/>
            <w:tcBorders>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5-15 cm</w:t>
            </w:r>
          </w:p>
        </w:tc>
        <w:tc>
          <w:tcPr>
            <w:tcW w:w="567" w:type="pct"/>
            <w:tcBorders>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15-30 cm</w:t>
            </w:r>
          </w:p>
        </w:tc>
        <w:tc>
          <w:tcPr>
            <w:tcW w:w="436" w:type="pct"/>
            <w:tcBorders>
              <w:bottom w:val="single" w:sz="4" w:space="0" w:color="auto"/>
            </w:tcBorders>
          </w:tcPr>
          <w:p w:rsidR="00164794" w:rsidRPr="00273B7F" w:rsidRDefault="00164794" w:rsidP="009F65B3">
            <w:pPr>
              <w:spacing w:line="276" w:lineRule="auto"/>
              <w:jc w:val="center"/>
              <w:rPr>
                <w:rFonts w:cs="Arial"/>
                <w:sz w:val="20"/>
              </w:rPr>
            </w:pPr>
            <w:r w:rsidRPr="00EA7649">
              <w:rPr>
                <w:rFonts w:cs="Arial"/>
                <w:i/>
                <w:sz w:val="21"/>
              </w:rPr>
              <w:t>P</w:t>
            </w:r>
            <w:r>
              <w:rPr>
                <w:rFonts w:cs="Arial"/>
                <w:sz w:val="21"/>
              </w:rPr>
              <w:t xml:space="preserve"> values</w:t>
            </w:r>
          </w:p>
        </w:tc>
      </w:tr>
      <w:tr w:rsidR="00164794" w:rsidRPr="00273B7F" w:rsidTr="009F65B3">
        <w:trPr>
          <w:trHeight w:val="261"/>
        </w:trPr>
        <w:tc>
          <w:tcPr>
            <w:tcW w:w="724" w:type="pct"/>
            <w:tcBorders>
              <w:top w:val="single" w:sz="4" w:space="0" w:color="auto"/>
              <w:bottom w:val="nil"/>
            </w:tcBorders>
            <w:hideMark/>
          </w:tcPr>
          <w:p w:rsidR="00164794" w:rsidRPr="00273B7F" w:rsidRDefault="00164794" w:rsidP="009F65B3">
            <w:pPr>
              <w:spacing w:line="276" w:lineRule="auto"/>
              <w:jc w:val="both"/>
              <w:rPr>
                <w:rFonts w:cs="Arial"/>
                <w:sz w:val="20"/>
              </w:rPr>
            </w:pPr>
            <w:r w:rsidRPr="00273B7F">
              <w:rPr>
                <w:rFonts w:cs="Arial"/>
                <w:sz w:val="20"/>
              </w:rPr>
              <w:t>Herbivores (%)</w:t>
            </w:r>
          </w:p>
        </w:tc>
        <w:tc>
          <w:tcPr>
            <w:tcW w:w="567" w:type="pct"/>
            <w:tcBorders>
              <w:top w:val="single" w:sz="4" w:space="0" w:color="auto"/>
              <w:bottom w:val="nil"/>
            </w:tcBorders>
            <w:hideMark/>
          </w:tcPr>
          <w:p w:rsidR="00164794" w:rsidRPr="00273B7F" w:rsidRDefault="00164794" w:rsidP="009F65B3">
            <w:pPr>
              <w:spacing w:line="276" w:lineRule="auto"/>
              <w:jc w:val="center"/>
              <w:rPr>
                <w:rFonts w:cs="Arial"/>
                <w:sz w:val="20"/>
              </w:rPr>
            </w:pPr>
            <w:r w:rsidRPr="00273B7F">
              <w:rPr>
                <w:rFonts w:cs="Arial"/>
                <w:sz w:val="20"/>
              </w:rPr>
              <w:t>36.91 ± 9.38</w:t>
            </w:r>
          </w:p>
        </w:tc>
        <w:tc>
          <w:tcPr>
            <w:tcW w:w="567" w:type="pct"/>
            <w:tcBorders>
              <w:top w:val="single" w:sz="4" w:space="0" w:color="auto"/>
              <w:bottom w:val="nil"/>
            </w:tcBorders>
            <w:hideMark/>
          </w:tcPr>
          <w:p w:rsidR="00164794" w:rsidRPr="00273B7F" w:rsidRDefault="00164794" w:rsidP="009F65B3">
            <w:pPr>
              <w:spacing w:line="276" w:lineRule="auto"/>
              <w:jc w:val="center"/>
              <w:rPr>
                <w:rFonts w:cs="Arial"/>
                <w:sz w:val="20"/>
              </w:rPr>
            </w:pPr>
            <w:r w:rsidRPr="00273B7F">
              <w:rPr>
                <w:rFonts w:cs="Arial"/>
                <w:sz w:val="20"/>
              </w:rPr>
              <w:t>60.50 ± 9.58</w:t>
            </w:r>
          </w:p>
        </w:tc>
        <w:tc>
          <w:tcPr>
            <w:tcW w:w="567" w:type="pct"/>
            <w:tcBorders>
              <w:top w:val="single" w:sz="4" w:space="0" w:color="auto"/>
              <w:bottom w:val="nil"/>
            </w:tcBorders>
            <w:hideMark/>
          </w:tcPr>
          <w:p w:rsidR="00164794" w:rsidRPr="00273B7F" w:rsidRDefault="00164794" w:rsidP="009F65B3">
            <w:pPr>
              <w:spacing w:line="276" w:lineRule="auto"/>
              <w:jc w:val="center"/>
              <w:rPr>
                <w:rFonts w:cs="Arial"/>
                <w:sz w:val="20"/>
              </w:rPr>
            </w:pPr>
            <w:r w:rsidRPr="00273B7F">
              <w:rPr>
                <w:rFonts w:cs="Arial"/>
                <w:sz w:val="20"/>
              </w:rPr>
              <w:t>81.04 ± 6.37</w:t>
            </w:r>
          </w:p>
        </w:tc>
        <w:tc>
          <w:tcPr>
            <w:tcW w:w="436" w:type="pct"/>
            <w:tcBorders>
              <w:top w:val="single" w:sz="4" w:space="0" w:color="auto"/>
              <w:bottom w:val="nil"/>
            </w:tcBorders>
          </w:tcPr>
          <w:p w:rsidR="00164794" w:rsidRPr="00273B7F" w:rsidRDefault="00164794" w:rsidP="009F65B3">
            <w:pPr>
              <w:spacing w:line="276" w:lineRule="auto"/>
              <w:jc w:val="center"/>
              <w:rPr>
                <w:rFonts w:cs="Arial"/>
                <w:sz w:val="20"/>
              </w:rPr>
            </w:pPr>
            <w:r w:rsidRPr="005B53E6">
              <w:rPr>
                <w:rFonts w:cs="Arial"/>
                <w:sz w:val="20"/>
              </w:rPr>
              <w:t>0.01</w:t>
            </w:r>
            <w:r>
              <w:rPr>
                <w:rFonts w:cs="Arial"/>
                <w:sz w:val="20"/>
              </w:rPr>
              <w:t>8</w:t>
            </w:r>
          </w:p>
        </w:tc>
        <w:tc>
          <w:tcPr>
            <w:tcW w:w="570" w:type="pct"/>
            <w:tcBorders>
              <w:top w:val="single" w:sz="4" w:space="0" w:color="auto"/>
              <w:bottom w:val="nil"/>
            </w:tcBorders>
            <w:hideMark/>
          </w:tcPr>
          <w:p w:rsidR="00164794" w:rsidRPr="00273B7F" w:rsidRDefault="00164794" w:rsidP="009F65B3">
            <w:pPr>
              <w:spacing w:line="276" w:lineRule="auto"/>
              <w:jc w:val="center"/>
              <w:rPr>
                <w:rFonts w:cs="Arial"/>
                <w:sz w:val="20"/>
              </w:rPr>
            </w:pPr>
            <w:r w:rsidRPr="00273B7F">
              <w:rPr>
                <w:rFonts w:cs="Arial"/>
                <w:sz w:val="20"/>
              </w:rPr>
              <w:t>35.27 + 3.49</w:t>
            </w:r>
          </w:p>
        </w:tc>
        <w:tc>
          <w:tcPr>
            <w:tcW w:w="567" w:type="pct"/>
            <w:tcBorders>
              <w:top w:val="single" w:sz="4" w:space="0" w:color="auto"/>
              <w:bottom w:val="nil"/>
            </w:tcBorders>
            <w:hideMark/>
          </w:tcPr>
          <w:p w:rsidR="00164794" w:rsidRPr="00273B7F" w:rsidRDefault="00164794" w:rsidP="009F65B3">
            <w:pPr>
              <w:spacing w:line="276" w:lineRule="auto"/>
              <w:jc w:val="center"/>
              <w:rPr>
                <w:rFonts w:cs="Arial"/>
                <w:sz w:val="20"/>
              </w:rPr>
            </w:pPr>
            <w:r w:rsidRPr="00273B7F">
              <w:rPr>
                <w:rFonts w:cs="Arial"/>
                <w:sz w:val="20"/>
              </w:rPr>
              <w:t>35.27 ± 3.20</w:t>
            </w:r>
          </w:p>
        </w:tc>
        <w:tc>
          <w:tcPr>
            <w:tcW w:w="567" w:type="pct"/>
            <w:tcBorders>
              <w:top w:val="single" w:sz="4" w:space="0" w:color="auto"/>
              <w:bottom w:val="nil"/>
            </w:tcBorders>
            <w:hideMark/>
          </w:tcPr>
          <w:p w:rsidR="00164794" w:rsidRPr="00273B7F" w:rsidRDefault="00164794" w:rsidP="009F65B3">
            <w:pPr>
              <w:spacing w:line="276" w:lineRule="auto"/>
              <w:jc w:val="center"/>
              <w:rPr>
                <w:rFonts w:cs="Arial"/>
                <w:sz w:val="20"/>
              </w:rPr>
            </w:pPr>
            <w:r w:rsidRPr="00273B7F">
              <w:rPr>
                <w:rFonts w:cs="Arial"/>
                <w:sz w:val="20"/>
              </w:rPr>
              <w:t>60.19 ± 3.06</w:t>
            </w:r>
          </w:p>
        </w:tc>
        <w:tc>
          <w:tcPr>
            <w:tcW w:w="436" w:type="pct"/>
            <w:tcBorders>
              <w:top w:val="single" w:sz="4" w:space="0" w:color="auto"/>
              <w:bottom w:val="nil"/>
            </w:tcBorders>
          </w:tcPr>
          <w:p w:rsidR="00164794" w:rsidRPr="00273B7F" w:rsidRDefault="00164794" w:rsidP="009F65B3">
            <w:pPr>
              <w:spacing w:line="276" w:lineRule="auto"/>
              <w:jc w:val="center"/>
              <w:rPr>
                <w:rFonts w:cs="Arial"/>
                <w:sz w:val="20"/>
              </w:rPr>
            </w:pPr>
            <w:r>
              <w:rPr>
                <w:rFonts w:cs="Arial"/>
                <w:sz w:val="20"/>
              </w:rPr>
              <w:t>&lt;0.001</w:t>
            </w:r>
          </w:p>
        </w:tc>
      </w:tr>
      <w:tr w:rsidR="00164794" w:rsidRPr="00273B7F" w:rsidTr="009F65B3">
        <w:trPr>
          <w:trHeight w:val="261"/>
        </w:trPr>
        <w:tc>
          <w:tcPr>
            <w:tcW w:w="724" w:type="pct"/>
            <w:tcBorders>
              <w:top w:val="nil"/>
              <w:bottom w:val="nil"/>
            </w:tcBorders>
            <w:hideMark/>
          </w:tcPr>
          <w:p w:rsidR="00164794" w:rsidRPr="00273B7F" w:rsidRDefault="00164794" w:rsidP="009F65B3">
            <w:pPr>
              <w:spacing w:line="276" w:lineRule="auto"/>
              <w:jc w:val="both"/>
              <w:rPr>
                <w:rFonts w:cs="Arial"/>
                <w:i/>
                <w:sz w:val="20"/>
              </w:rPr>
            </w:pPr>
            <w:r w:rsidRPr="00273B7F">
              <w:rPr>
                <w:rFonts w:cs="Arial"/>
                <w:i/>
                <w:sz w:val="20"/>
              </w:rPr>
              <w:t>Pratylenchus</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 ± 0</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5.00 ± 5.00</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9.04 ± 5.86</w:t>
            </w:r>
          </w:p>
        </w:tc>
        <w:tc>
          <w:tcPr>
            <w:tcW w:w="436" w:type="pct"/>
            <w:tcBorders>
              <w:top w:val="nil"/>
              <w:bottom w:val="nil"/>
            </w:tcBorders>
          </w:tcPr>
          <w:p w:rsidR="00164794" w:rsidRPr="00273B7F" w:rsidRDefault="00164794" w:rsidP="009F65B3">
            <w:pPr>
              <w:spacing w:line="276" w:lineRule="auto"/>
              <w:jc w:val="center"/>
              <w:rPr>
                <w:rFonts w:cs="Arial"/>
                <w:sz w:val="20"/>
              </w:rPr>
            </w:pPr>
            <w:r w:rsidRPr="000C055B">
              <w:rPr>
                <w:rFonts w:cs="Arial"/>
                <w:sz w:val="21"/>
              </w:rPr>
              <w:t>NA</w:t>
            </w:r>
          </w:p>
        </w:tc>
        <w:tc>
          <w:tcPr>
            <w:tcW w:w="570"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1.00 ± 0.14</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1.11 ± 0.23</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1.74 ± 0.34</w:t>
            </w:r>
          </w:p>
        </w:tc>
        <w:tc>
          <w:tcPr>
            <w:tcW w:w="436" w:type="pct"/>
            <w:tcBorders>
              <w:top w:val="nil"/>
              <w:bottom w:val="nil"/>
            </w:tcBorders>
          </w:tcPr>
          <w:p w:rsidR="00164794" w:rsidRPr="00273B7F" w:rsidRDefault="00164794" w:rsidP="009F65B3">
            <w:pPr>
              <w:spacing w:line="276" w:lineRule="auto"/>
              <w:jc w:val="center"/>
              <w:rPr>
                <w:rFonts w:cs="Arial"/>
                <w:sz w:val="20"/>
              </w:rPr>
            </w:pPr>
            <w:r>
              <w:rPr>
                <w:rFonts w:cs="Arial"/>
                <w:sz w:val="20"/>
              </w:rPr>
              <w:t>0.109</w:t>
            </w:r>
          </w:p>
        </w:tc>
      </w:tr>
      <w:tr w:rsidR="00164794" w:rsidRPr="00273B7F" w:rsidTr="009F65B3">
        <w:trPr>
          <w:trHeight w:val="261"/>
        </w:trPr>
        <w:tc>
          <w:tcPr>
            <w:tcW w:w="724" w:type="pct"/>
            <w:tcBorders>
              <w:top w:val="nil"/>
              <w:bottom w:val="nil"/>
            </w:tcBorders>
            <w:hideMark/>
          </w:tcPr>
          <w:p w:rsidR="00164794" w:rsidRPr="00273B7F" w:rsidRDefault="00164794" w:rsidP="009F65B3">
            <w:pPr>
              <w:spacing w:line="276" w:lineRule="auto"/>
              <w:jc w:val="both"/>
              <w:rPr>
                <w:rFonts w:cs="Arial"/>
                <w:i/>
                <w:sz w:val="20"/>
              </w:rPr>
            </w:pPr>
            <w:r w:rsidRPr="00273B7F">
              <w:rPr>
                <w:rFonts w:cs="Arial"/>
                <w:i/>
                <w:sz w:val="20"/>
              </w:rPr>
              <w:t>Tylenchus</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 ± 0</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0.17 ± 0.17</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2.40 ± 2.40</w:t>
            </w:r>
          </w:p>
        </w:tc>
        <w:tc>
          <w:tcPr>
            <w:tcW w:w="436" w:type="pct"/>
            <w:tcBorders>
              <w:top w:val="nil"/>
              <w:bottom w:val="nil"/>
            </w:tcBorders>
          </w:tcPr>
          <w:p w:rsidR="00164794" w:rsidRPr="00273B7F" w:rsidRDefault="00164794" w:rsidP="009F65B3">
            <w:pPr>
              <w:spacing w:line="276" w:lineRule="auto"/>
              <w:jc w:val="center"/>
              <w:rPr>
                <w:rFonts w:cs="Arial"/>
                <w:sz w:val="20"/>
              </w:rPr>
            </w:pPr>
            <w:r w:rsidRPr="000C055B">
              <w:rPr>
                <w:rFonts w:cs="Arial"/>
                <w:sz w:val="21"/>
              </w:rPr>
              <w:t>NA</w:t>
            </w:r>
          </w:p>
        </w:tc>
        <w:tc>
          <w:tcPr>
            <w:tcW w:w="570"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0.70 ± 0.24</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1.17 ± 0.26</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6.13 ± 0.74</w:t>
            </w:r>
          </w:p>
        </w:tc>
        <w:tc>
          <w:tcPr>
            <w:tcW w:w="436" w:type="pct"/>
            <w:tcBorders>
              <w:top w:val="nil"/>
              <w:bottom w:val="nil"/>
            </w:tcBorders>
          </w:tcPr>
          <w:p w:rsidR="00164794" w:rsidRPr="00273B7F" w:rsidRDefault="00164794" w:rsidP="009F65B3">
            <w:pPr>
              <w:spacing w:line="276" w:lineRule="auto"/>
              <w:jc w:val="center"/>
              <w:rPr>
                <w:rFonts w:cs="Arial"/>
                <w:sz w:val="20"/>
              </w:rPr>
            </w:pPr>
            <w:r>
              <w:rPr>
                <w:rFonts w:cs="Arial"/>
                <w:sz w:val="20"/>
              </w:rPr>
              <w:t>&lt;0.01</w:t>
            </w:r>
          </w:p>
        </w:tc>
      </w:tr>
      <w:tr w:rsidR="00164794" w:rsidRPr="00273B7F" w:rsidTr="009F65B3">
        <w:trPr>
          <w:trHeight w:val="261"/>
        </w:trPr>
        <w:tc>
          <w:tcPr>
            <w:tcW w:w="724" w:type="pct"/>
            <w:tcBorders>
              <w:top w:val="nil"/>
              <w:bottom w:val="nil"/>
            </w:tcBorders>
            <w:hideMark/>
          </w:tcPr>
          <w:p w:rsidR="00164794" w:rsidRPr="00273B7F" w:rsidRDefault="00164794" w:rsidP="009F65B3">
            <w:pPr>
              <w:spacing w:line="276" w:lineRule="auto"/>
              <w:jc w:val="both"/>
              <w:rPr>
                <w:rFonts w:cs="Arial"/>
                <w:i/>
                <w:sz w:val="20"/>
              </w:rPr>
            </w:pPr>
            <w:r w:rsidRPr="00273B7F">
              <w:rPr>
                <w:rFonts w:cs="Arial"/>
                <w:i/>
                <w:sz w:val="20"/>
              </w:rPr>
              <w:t>Paratylenchus</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0.35 ± 0.31</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9.70 ± 6.57</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23.39 ± 7.91</w:t>
            </w:r>
          </w:p>
        </w:tc>
        <w:tc>
          <w:tcPr>
            <w:tcW w:w="436" w:type="pct"/>
            <w:tcBorders>
              <w:top w:val="nil"/>
              <w:bottom w:val="nil"/>
            </w:tcBorders>
          </w:tcPr>
          <w:p w:rsidR="00164794" w:rsidRPr="00273B7F" w:rsidRDefault="00164794" w:rsidP="009F65B3">
            <w:pPr>
              <w:spacing w:line="276" w:lineRule="auto"/>
              <w:jc w:val="center"/>
              <w:rPr>
                <w:rFonts w:cs="Arial"/>
                <w:sz w:val="20"/>
              </w:rPr>
            </w:pPr>
            <w:r w:rsidRPr="000C055B">
              <w:rPr>
                <w:rFonts w:cs="Arial"/>
                <w:sz w:val="21"/>
              </w:rPr>
              <w:t>NA</w:t>
            </w:r>
          </w:p>
        </w:tc>
        <w:tc>
          <w:tcPr>
            <w:tcW w:w="570"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2.78 ± 0.55</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2.11 ± 0.43</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8.87 ± 0.97</w:t>
            </w:r>
          </w:p>
        </w:tc>
        <w:tc>
          <w:tcPr>
            <w:tcW w:w="436" w:type="pct"/>
            <w:tcBorders>
              <w:top w:val="nil"/>
              <w:bottom w:val="nil"/>
            </w:tcBorders>
          </w:tcPr>
          <w:p w:rsidR="00164794" w:rsidRPr="00273B7F" w:rsidRDefault="00164794" w:rsidP="009F65B3">
            <w:pPr>
              <w:spacing w:line="276" w:lineRule="auto"/>
              <w:jc w:val="center"/>
              <w:rPr>
                <w:rFonts w:cs="Arial"/>
                <w:sz w:val="20"/>
              </w:rPr>
            </w:pPr>
            <w:r>
              <w:rPr>
                <w:rFonts w:cs="Arial"/>
                <w:sz w:val="20"/>
              </w:rPr>
              <w:t>&lt;0.001</w:t>
            </w:r>
          </w:p>
        </w:tc>
      </w:tr>
      <w:tr w:rsidR="00164794" w:rsidRPr="00273B7F" w:rsidTr="009F65B3">
        <w:trPr>
          <w:trHeight w:val="261"/>
        </w:trPr>
        <w:tc>
          <w:tcPr>
            <w:tcW w:w="724" w:type="pct"/>
            <w:tcBorders>
              <w:top w:val="nil"/>
              <w:bottom w:val="nil"/>
            </w:tcBorders>
            <w:hideMark/>
          </w:tcPr>
          <w:p w:rsidR="00164794" w:rsidRPr="00273B7F" w:rsidRDefault="00164794" w:rsidP="009F65B3">
            <w:pPr>
              <w:spacing w:line="276" w:lineRule="auto"/>
              <w:jc w:val="both"/>
              <w:rPr>
                <w:rFonts w:cs="Arial"/>
                <w:sz w:val="20"/>
              </w:rPr>
            </w:pPr>
            <w:r w:rsidRPr="00273B7F">
              <w:rPr>
                <w:rFonts w:cs="Arial"/>
                <w:sz w:val="20"/>
              </w:rPr>
              <w:t>Bacterivores (%)</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31.65 ± 8.17</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23.14 ± 8.06</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37.17 ± 8.61</w:t>
            </w:r>
          </w:p>
        </w:tc>
        <w:tc>
          <w:tcPr>
            <w:tcW w:w="436" w:type="pct"/>
            <w:tcBorders>
              <w:top w:val="nil"/>
              <w:bottom w:val="nil"/>
            </w:tcBorders>
          </w:tcPr>
          <w:p w:rsidR="00164794" w:rsidRPr="00273B7F" w:rsidRDefault="00164794" w:rsidP="009F65B3">
            <w:pPr>
              <w:spacing w:line="276" w:lineRule="auto"/>
              <w:jc w:val="center"/>
              <w:rPr>
                <w:rFonts w:cs="Arial"/>
                <w:sz w:val="20"/>
              </w:rPr>
            </w:pPr>
            <w:r w:rsidRPr="00E1702B">
              <w:rPr>
                <w:rFonts w:cs="Arial"/>
                <w:sz w:val="20"/>
              </w:rPr>
              <w:t>0.315</w:t>
            </w:r>
          </w:p>
        </w:tc>
        <w:tc>
          <w:tcPr>
            <w:tcW w:w="570"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50.61 ± 3.06</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55.22 ± 3.37</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29.61 ± 3.39</w:t>
            </w:r>
          </w:p>
        </w:tc>
        <w:tc>
          <w:tcPr>
            <w:tcW w:w="436" w:type="pct"/>
            <w:tcBorders>
              <w:top w:val="nil"/>
              <w:bottom w:val="nil"/>
            </w:tcBorders>
          </w:tcPr>
          <w:p w:rsidR="00164794" w:rsidRPr="00273B7F" w:rsidRDefault="00164794" w:rsidP="009F65B3">
            <w:pPr>
              <w:spacing w:line="276" w:lineRule="auto"/>
              <w:jc w:val="center"/>
              <w:rPr>
                <w:rFonts w:cs="Arial"/>
                <w:sz w:val="20"/>
              </w:rPr>
            </w:pPr>
            <w:r>
              <w:rPr>
                <w:rFonts w:cs="Arial"/>
                <w:sz w:val="20"/>
              </w:rPr>
              <w:t>&lt;0.001</w:t>
            </w:r>
          </w:p>
        </w:tc>
      </w:tr>
      <w:tr w:rsidR="00164794" w:rsidRPr="00273B7F" w:rsidTr="009F65B3">
        <w:trPr>
          <w:trHeight w:val="261"/>
        </w:trPr>
        <w:tc>
          <w:tcPr>
            <w:tcW w:w="724" w:type="pct"/>
            <w:tcBorders>
              <w:top w:val="nil"/>
              <w:bottom w:val="nil"/>
            </w:tcBorders>
            <w:hideMark/>
          </w:tcPr>
          <w:p w:rsidR="00164794" w:rsidRPr="00273B7F" w:rsidRDefault="00164794" w:rsidP="009F65B3">
            <w:pPr>
              <w:spacing w:line="276" w:lineRule="auto"/>
              <w:jc w:val="both"/>
              <w:rPr>
                <w:rFonts w:cs="Arial"/>
                <w:i/>
                <w:sz w:val="20"/>
              </w:rPr>
            </w:pPr>
            <w:r w:rsidRPr="00273B7F">
              <w:rPr>
                <w:rFonts w:cs="Arial"/>
                <w:i/>
                <w:sz w:val="20"/>
              </w:rPr>
              <w:t>Rhabditis</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0.30 ± 0.23</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8.60 ± 5.17</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7.30 ± 4.61</w:t>
            </w:r>
          </w:p>
        </w:tc>
        <w:tc>
          <w:tcPr>
            <w:tcW w:w="436" w:type="pct"/>
            <w:tcBorders>
              <w:top w:val="nil"/>
              <w:bottom w:val="nil"/>
            </w:tcBorders>
          </w:tcPr>
          <w:p w:rsidR="00164794" w:rsidRPr="00273B7F" w:rsidRDefault="00164794" w:rsidP="009F65B3">
            <w:pPr>
              <w:spacing w:line="276" w:lineRule="auto"/>
              <w:jc w:val="center"/>
              <w:rPr>
                <w:rFonts w:cs="Arial"/>
                <w:sz w:val="20"/>
              </w:rPr>
            </w:pPr>
            <w:r w:rsidRPr="003C279B">
              <w:rPr>
                <w:rFonts w:cs="Arial"/>
                <w:sz w:val="21"/>
              </w:rPr>
              <w:t>NA</w:t>
            </w:r>
          </w:p>
        </w:tc>
        <w:tc>
          <w:tcPr>
            <w:tcW w:w="570"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3.00 ± 0.62</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0.38 ± 0.16</w:t>
            </w:r>
          </w:p>
        </w:tc>
        <w:tc>
          <w:tcPr>
            <w:tcW w:w="567" w:type="pct"/>
            <w:tcBorders>
              <w:top w:val="nil"/>
              <w:bottom w:val="nil"/>
            </w:tcBorders>
            <w:hideMark/>
          </w:tcPr>
          <w:p w:rsidR="00164794" w:rsidRPr="00273B7F" w:rsidRDefault="00164794" w:rsidP="009F65B3">
            <w:pPr>
              <w:spacing w:line="276" w:lineRule="auto"/>
              <w:jc w:val="center"/>
              <w:rPr>
                <w:rFonts w:cs="Arial"/>
                <w:sz w:val="20"/>
              </w:rPr>
            </w:pPr>
            <w:r w:rsidRPr="00273B7F">
              <w:rPr>
                <w:rFonts w:cs="Arial"/>
                <w:sz w:val="20"/>
              </w:rPr>
              <w:t>0 ± 0</w:t>
            </w:r>
          </w:p>
        </w:tc>
        <w:tc>
          <w:tcPr>
            <w:tcW w:w="436" w:type="pct"/>
            <w:tcBorders>
              <w:top w:val="nil"/>
              <w:bottom w:val="nil"/>
            </w:tcBorders>
          </w:tcPr>
          <w:p w:rsidR="00164794" w:rsidRPr="00273B7F" w:rsidRDefault="00164794" w:rsidP="009F65B3">
            <w:pPr>
              <w:spacing w:line="276" w:lineRule="auto"/>
              <w:jc w:val="center"/>
              <w:rPr>
                <w:rFonts w:cs="Arial"/>
                <w:sz w:val="20"/>
              </w:rPr>
            </w:pPr>
            <w:r>
              <w:rPr>
                <w:rFonts w:cs="Arial"/>
                <w:sz w:val="20"/>
              </w:rPr>
              <w:t>NA</w:t>
            </w:r>
          </w:p>
        </w:tc>
      </w:tr>
      <w:tr w:rsidR="00164794" w:rsidRPr="00273B7F" w:rsidTr="009F65B3">
        <w:trPr>
          <w:trHeight w:val="261"/>
        </w:trPr>
        <w:tc>
          <w:tcPr>
            <w:tcW w:w="724" w:type="pct"/>
            <w:tcBorders>
              <w:top w:val="nil"/>
              <w:bottom w:val="single" w:sz="4" w:space="0" w:color="auto"/>
            </w:tcBorders>
            <w:hideMark/>
          </w:tcPr>
          <w:p w:rsidR="00164794" w:rsidRPr="00273B7F" w:rsidRDefault="00164794" w:rsidP="009F65B3">
            <w:pPr>
              <w:spacing w:line="276" w:lineRule="auto"/>
              <w:jc w:val="both"/>
              <w:rPr>
                <w:rFonts w:cs="Arial"/>
                <w:i/>
                <w:sz w:val="20"/>
              </w:rPr>
            </w:pPr>
            <w:r w:rsidRPr="00273B7F">
              <w:rPr>
                <w:rFonts w:cs="Arial"/>
                <w:i/>
                <w:sz w:val="20"/>
              </w:rPr>
              <w:t>Eucephalobus</w:t>
            </w:r>
          </w:p>
        </w:tc>
        <w:tc>
          <w:tcPr>
            <w:tcW w:w="567" w:type="pct"/>
            <w:tcBorders>
              <w:top w:val="nil"/>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15.91 ± 6.10</w:t>
            </w:r>
          </w:p>
        </w:tc>
        <w:tc>
          <w:tcPr>
            <w:tcW w:w="567" w:type="pct"/>
            <w:tcBorders>
              <w:top w:val="nil"/>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7.45 ± 4.90</w:t>
            </w:r>
          </w:p>
        </w:tc>
        <w:tc>
          <w:tcPr>
            <w:tcW w:w="567" w:type="pct"/>
            <w:tcBorders>
              <w:top w:val="nil"/>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0.04 ± 0.04</w:t>
            </w:r>
          </w:p>
        </w:tc>
        <w:tc>
          <w:tcPr>
            <w:tcW w:w="436" w:type="pct"/>
            <w:tcBorders>
              <w:top w:val="nil"/>
              <w:bottom w:val="single" w:sz="4" w:space="0" w:color="auto"/>
            </w:tcBorders>
          </w:tcPr>
          <w:p w:rsidR="00164794" w:rsidRPr="00273B7F" w:rsidRDefault="00164794" w:rsidP="009F65B3">
            <w:pPr>
              <w:spacing w:line="276" w:lineRule="auto"/>
              <w:jc w:val="center"/>
              <w:rPr>
                <w:rFonts w:cs="Arial"/>
                <w:sz w:val="20"/>
              </w:rPr>
            </w:pPr>
            <w:r w:rsidRPr="003C279B">
              <w:rPr>
                <w:rFonts w:cs="Arial"/>
                <w:sz w:val="21"/>
              </w:rPr>
              <w:t>NA</w:t>
            </w:r>
          </w:p>
        </w:tc>
        <w:tc>
          <w:tcPr>
            <w:tcW w:w="570" w:type="pct"/>
            <w:tcBorders>
              <w:top w:val="nil"/>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5.42 ± 0.64</w:t>
            </w:r>
          </w:p>
        </w:tc>
        <w:tc>
          <w:tcPr>
            <w:tcW w:w="567" w:type="pct"/>
            <w:tcBorders>
              <w:top w:val="nil"/>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1.27 ± 0.41</w:t>
            </w:r>
          </w:p>
        </w:tc>
        <w:tc>
          <w:tcPr>
            <w:tcW w:w="567" w:type="pct"/>
            <w:tcBorders>
              <w:top w:val="nil"/>
              <w:bottom w:val="single" w:sz="4" w:space="0" w:color="auto"/>
            </w:tcBorders>
            <w:hideMark/>
          </w:tcPr>
          <w:p w:rsidR="00164794" w:rsidRPr="00273B7F" w:rsidRDefault="00164794" w:rsidP="009F65B3">
            <w:pPr>
              <w:spacing w:line="276" w:lineRule="auto"/>
              <w:jc w:val="center"/>
              <w:rPr>
                <w:rFonts w:cs="Arial"/>
                <w:sz w:val="20"/>
              </w:rPr>
            </w:pPr>
            <w:r w:rsidRPr="00273B7F">
              <w:rPr>
                <w:rFonts w:cs="Arial"/>
                <w:sz w:val="20"/>
              </w:rPr>
              <w:t>0.26 ± 0.10</w:t>
            </w:r>
          </w:p>
        </w:tc>
        <w:tc>
          <w:tcPr>
            <w:tcW w:w="436" w:type="pct"/>
            <w:tcBorders>
              <w:top w:val="nil"/>
              <w:bottom w:val="single" w:sz="4" w:space="0" w:color="auto"/>
            </w:tcBorders>
          </w:tcPr>
          <w:p w:rsidR="00164794" w:rsidRPr="00273B7F" w:rsidRDefault="00164794" w:rsidP="009F65B3">
            <w:pPr>
              <w:spacing w:line="276" w:lineRule="auto"/>
              <w:jc w:val="center"/>
              <w:rPr>
                <w:rFonts w:cs="Arial"/>
                <w:sz w:val="20"/>
              </w:rPr>
            </w:pPr>
            <w:r>
              <w:rPr>
                <w:rFonts w:cs="Arial"/>
                <w:sz w:val="20"/>
              </w:rPr>
              <w:t>NA</w:t>
            </w:r>
          </w:p>
        </w:tc>
      </w:tr>
    </w:tbl>
    <w:p w:rsidR="00164794" w:rsidRDefault="00164794" w:rsidP="00164794">
      <w:pPr>
        <w:rPr>
          <w:rFonts w:cs="Arial"/>
          <w:b/>
        </w:rPr>
        <w:sectPr w:rsidR="00164794" w:rsidSect="00164794">
          <w:type w:val="continuous"/>
          <w:pgSz w:w="16840" w:h="11900" w:orient="landscape"/>
          <w:pgMar w:top="1440" w:right="1440" w:bottom="1440" w:left="1440" w:header="720" w:footer="720" w:gutter="0"/>
          <w:cols w:space="720"/>
        </w:sectPr>
      </w:pPr>
    </w:p>
    <w:p w:rsidR="00164794" w:rsidRDefault="00164794" w:rsidP="00164794">
      <w:pPr>
        <w:pStyle w:val="Heading1"/>
      </w:pPr>
      <w:r>
        <w:lastRenderedPageBreak/>
        <w:t>References</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sz w:val="22"/>
          <w:szCs w:val="22"/>
        </w:rPr>
        <w:fldChar w:fldCharType="begin" w:fldLock="1"/>
      </w:r>
      <w:r w:rsidRPr="0023180E">
        <w:rPr>
          <w:rFonts w:ascii="Arial" w:hAnsi="Arial" w:cs="Arial"/>
          <w:sz w:val="22"/>
          <w:szCs w:val="22"/>
        </w:rPr>
        <w:instrText xml:space="preserve">ADDIN Mendeley Bibliography CSL_BIBLIOGRAPHY </w:instrText>
      </w:r>
      <w:r w:rsidRPr="0023180E">
        <w:rPr>
          <w:rFonts w:ascii="Arial" w:hAnsi="Arial" w:cs="Arial"/>
          <w:sz w:val="22"/>
          <w:szCs w:val="22"/>
        </w:rPr>
        <w:fldChar w:fldCharType="separate"/>
      </w:r>
      <w:r w:rsidRPr="0023180E">
        <w:rPr>
          <w:rFonts w:ascii="Arial" w:hAnsi="Arial" w:cs="Arial"/>
          <w:noProof/>
          <w:sz w:val="22"/>
          <w:szCs w:val="22"/>
          <w:lang w:val="en-US"/>
        </w:rPr>
        <w:t>Amend, A.S., Seifert, K.A., Bruns, T.D., 2010. Quantifying microbial communities with 454 pyrosequencing: does read abundance count? Mol. Ecol. 19, 5555–5565.</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Beare, M.H., Parmelee, R.W., Hendrix, P.F., Cheng, W., Coleman, D.C., Crossley, D.A., 1992. Microbial and faunal interactions and effects on litter nitrogen and decomposition in agroecosystems. Ecol. Monogr. 62, 569–591.</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Benjamini, Y., Yekutieli, D., 2001. The control of the false discovery rate in multiple testing under dependency. Ann. Stat. 1165–1188.</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Blaxter, M.L., De Ley, P., Garey, J.R., Liu, L.X., 1998. A molecular evolutionary framework for the phylum Nematoda. Nature 392, 71.</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Bongers, T., 1990. The maturity index: an ecological measure of environmental disturbance based on nematode species composition. Oecologia 83, 14–19.</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Bongers, T., Bongers, M., 1998. Functional diversity of nematodes. Appl. Soil Ecol. 10, 239–251. doi:10.1016/S0929-1393(98)00123-1</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Bongers, T., De Goede, R.G.N., Korthals, G.W., Yeates, G.W., 1995. Proposed changes of cp classification for nematodes. Russ. J. Nematol.</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Bongers, T., Ferris, H., 1999. Nematode community structure as a bioindicator in environmental monitoring. Trends Ecol. Evol. 14, 224–228.</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Bongers, T., van der Meulen, H., Korthals, G., 1997. Inverse relationship between the nematode maturity index and plant parasite index under enriched nutrient conditions. Appl. Soil Ecol. 6, 195–199.</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Cowart, D.A., Pinheiro, M., Mouchel, O., Maguer, M., Grall, J., Miné, J., Arnaud-Haond, S., 2015. Metabarcoding is powerful yet still blind: a comparative analysis of morphological and molecular surveys of seagrass communities. PLoS One 10, e0117562.</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De Goede, R.G.M., Bongers, T., Ettema, C., 1993a. Graphical presentation and interpretation of nematode community structure: cp triangles. Meded. van Fac. Landbouwwet. Rijksuniv. Gent 58, 743–750.</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De Goede, R.G.M., Georgieva, S.S., Verschoor, B.C., Kamerman, J.W., 1993b. Changes in nematode community structure in a primary succession of blown-out areas in a drift sand landscape. Fundam. Appl. Nematol. 16, 501–513.</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Edgar, R.C., 2017. UNBIAS: An attempt to correct abundance bias in 16S sequencing, with limited success. bioRxiv 124149.</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Edgar, R.C., 2010. Search and clustering orders of magnitude faster than BLAST. Bioinformatics 26, 2460–2461. doi:10.1093/bioinformatics/btq461</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Edgar, R.C., Flyvbjerg, H., 2015. Error filtering, pair assembly and error correction for next-generation sequencing reads. Bioinformatics 31, 3476–3482.</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Elbrecht, V., Leese, F., 2015. Can DNA-Based Ecosystem Assessments Quantify Species Abundance? Testing Primer Bias and Biomass—Sequence Relationships with an Innovative Metabarcoding Protocol. PLoS One 10, 1–16.</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lastRenderedPageBreak/>
        <w:t>Ettema, C.H., Bongers, T., 1993. Characterization of nematode colonization and succession in disturbed soil using the Maturity Index. Biol. Fertil. Soils 16, 79–85.</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Ferris, H., Bongers, T., 2006. Nematode indicators of organic enrichment. J. Nematol. 38, 3–12.</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Ferris, H., Bongers, T., De Goede, R.G.M., 2001. A framework for soil food web diagnostics: extension of the nematode faunal analysis concept. Appl. soil Ecol. 18, 13–29.</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Ferris, H., Matute, M.M., 2003. Structural and functional succession in the nematode fauna of a soil food web. Appl. Soil Ecol. 23, 93–110.</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Guillou, L., Bachar, D., Audic, S.S., Bass, D., Berney, C.C., Bittner, L., Boutte, C., Burgaud, G.G., De Vargas, C., Decelle, J., Del Campo, J., Dolan, J.R., Dunthorn, M., Edvardsen, B., Holzmann, M., Kooistra, W.H.C.F., Lara, E., Le Bescot, N., Logares, R., Mah??, F., Massana, R., Montresor, M., Morard, R., Not, F., Pawlowski, J., Probert, I., Sauvadet, A.L., Siano, R., Stoeck, T., Vaulot, D., Zimmermann, P., Christen, R., 2012. The Protist Ribosomal Reference database (PR2): a catalog of unicellular eukaryote small sub-unit rRNA sequences with curated taxonomy. Nucleic Acids Res. 41, D597–D604. doi:10.1093/nar/gks1160</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Háněl, L., 2010. An outline of soil nematode succession on abandoned fields in South Bohemia. Appl. soil Ecol. 46, 355–371.</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Holterman, M., van der Wurff, A., van den Elsen, S., van Megen, H., Bongers, T., Holovachov, O., Bakker, J., Helder, J., 2006. Phylum-wide analysis of SSU rDNA reveals deep phylogenetic relationships among nematodes and accelerated evolution toward crown clades. Mol. Biol. Evol. 23, 1792–1800.</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Ji, Y., Ashton, L., Pedley, S.M., Edwards, D.P., Tang, Y., Nakamura, A., Kitching, R., Dolman, P.M., Woodcock, P., Edwards, F.A., 2013. Reliable, verifiable and efficient monitoring of biodiversity via metabarcoding. Ecol. Lett. 16, 1245–1257.</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Lejzerowicz, F., Esling, P., Pillet, L., Wilding, T.A., Black, K.D., Pawlowski, J., 2015. High-throughput sequencing and morphology perform equally well for benthic monitoring of marine ecosystems. Sci. Rep. 5, 13932.</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Neher, D., Bongers, T., Ferris, H., 2004. Computation of nematode community indices, in: Society of Nematologists Workshop. p. 33.</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Neher, D.A., Campbell, C.L., 1996. Sampling for regional monitoring of nematode communities in agricultural soils. J. Nematol. 28, 196.</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Neher, D.A., Campbell, C.L., 1994. Nematode communities and microbial biomass in soils with annual and perennial crops. Appl. Soil Ecol. 1, 17–28.</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Okada, H., Harada, H., 2007. Effects of tillage and fertilizer on nematode communities in a Japanese soybean field. Appl. Soil Ecol. 35, 582–598. doi:10.1016/j.apsoil.2006.09.008</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Oksanen, J., Blanchet, F.G., Kindt, R., Legendre, P., Minchin, P.R., O’hara, R.B., Simpson, G.L., Solymos, P., Stevens, M.H.H., Wagner, H., 2015. vegan: community ecology package. R package version 2.2–1. 2015. There is no Corresp. Rec. this Ref.</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Peham, T., Steiner, F.M., Schlick</w:t>
      </w:r>
      <w:r w:rsidRPr="0023180E">
        <w:rPr>
          <w:rFonts w:ascii="Cambria Math" w:hAnsi="Cambria Math" w:cs="Cambria Math"/>
          <w:noProof/>
          <w:sz w:val="22"/>
          <w:szCs w:val="22"/>
          <w:lang w:val="en-US"/>
        </w:rPr>
        <w:t>‐</w:t>
      </w:r>
      <w:r w:rsidRPr="0023180E">
        <w:rPr>
          <w:rFonts w:ascii="Arial" w:hAnsi="Arial" w:cs="Arial"/>
          <w:noProof/>
          <w:sz w:val="22"/>
          <w:szCs w:val="22"/>
          <w:lang w:val="en-US"/>
        </w:rPr>
        <w:t>Steiner, B.C., Arthofer, W., 2017. Are we ready to detect nematode diversity by next generation sequencing? Ecol. Evol.</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lastRenderedPageBreak/>
        <w:t>Porazinska, D.., Duncan, L.., McSorley, R., Graham, J.., 1999. Nematode communities as indicators of status and processes of a soil ecosystem influenced by agricultural management practices. Appl. Soil Ecol. 13, 69–86. doi:10.1016/S0929-1393(99)00018-9</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Porazinska, D.L., Giblin-Davis, R.M., Faller, L., Farmerie, W., Kanzaki, N., Morris, K., Powers, T.O., Tucker, A.E., Sung, W., Thomas, W.K., 2009. Evaluating high-throughput sequencing as a method for metagenomic analysis of nematode diversity. Mol. Ecol. Resour. 9, 1439–1450. doi:10.1111/j.1755-0998.2009.02611.x</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Porazinska, D.L., McSorley, R., Duncan, L.W., Graham, J.H., Wheaton, T.A., Parsons, L.R., 1998. Nematode Community Composition under Various Irrigation Schemes in a Citrus Soil Ecosystem. J. Nematol. 30, 170–178.</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Sánchez-Moreno, S., Minoshima, H., Ferris, H., Jackson, L.E., Sanchez-Moreno, S., Minoshima, H., Ferris, H., Jackson, L.E., 2006. Linking soil properties and nematode community composition: effects of soil management on soil food webs. Nematology 8, 703–715. doi:Doi 10.1163/156854106778877857</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Sapkota, R., Nicolaisen, M., 2015. High-throughput sequencing of nematode communities from total soil DNA extractions. BMC Ecol. 15, 1–8. doi:10.1186/s12898-014-0034-4</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Sieriebriennikov, B., Ferris, H., de Goede, R.G.M., 2014. NINJA: an automated calculation system for nematode-based biological monitoring. Eur. J. Soil Biol. 61, 90–93.</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Sogin, M.L., Morrison, H.G., Huber, J.A., Welch, D.M., Huse, S.M., Neal, P.R., Arrieta, J.M., Herndl, G.J., 2006. Microbial diversity in the deep sea and the underexplored “rare biosphere”. Proc. Natl. Acad. Sci. 103, 12115–12120.</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Team, Rs., 2015. RStudio: integrated development environment for R. Boston (MA): RStudio, Inc.</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Unterseher, M., Siddique, A.B., Brachmann, A., Peršoh, D., 2016. Diversity and composition of the leaf mycobiome of beech (Fagus sylvatica) are affected by local habitat conditions and leaf biochemistry. PLoS One 11, e0152878.</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van Megen, H., van den Elsen, S., Holterman, M., Karssen, G., Mooyman, P., Bongers, T., Holovachov, O., Bakker, J., Helder, J., 2009. A phylogenetic tree of nematodes based on about 1200 full-length small subunit ribosomal DNA sequences. Nematology 11, 927–950.</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Wang, Y.I., Naumann, U., Wright, S.T., Warton, D.I., 2012. mvabund–an R package for model</w:t>
      </w:r>
      <w:r w:rsidRPr="0023180E">
        <w:rPr>
          <w:rFonts w:ascii="Cambria Math" w:hAnsi="Cambria Math" w:cs="Cambria Math"/>
          <w:noProof/>
          <w:sz w:val="22"/>
          <w:szCs w:val="22"/>
          <w:lang w:val="en-US"/>
        </w:rPr>
        <w:t>‐</w:t>
      </w:r>
      <w:r w:rsidRPr="0023180E">
        <w:rPr>
          <w:rFonts w:ascii="Arial" w:hAnsi="Arial" w:cs="Arial"/>
          <w:noProof/>
          <w:sz w:val="22"/>
          <w:szCs w:val="22"/>
          <w:lang w:val="en-US"/>
        </w:rPr>
        <w:t>based analysis of multivariate abundance data. Methods Ecol. Evol. 3, 471–474.</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Wardle, D.A., Yeates, G.W., Watson, R.N., Nicholson, K.S., 1995. Development of the decomposer food-web, trophic relationships, and ecosystem properties during a three-year primary succession in sawdust. Oikos 155–166.</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Welch, B.L., 1951. On the comparison of several mean values: an alternative approach. Biometrika 38, 330–336.</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Wilcox, R., 2012. Chapter 7 - One-Way and Higher Designs for Independent Groups BT  - Introduction to Robust Estimation and Hypothesis Testing (Third Edition), in: Statistical Modeling and Decision Science. Academic Press, Boston, pp. 291–377. doi:https://doi.org/10.1016/B978-0-12-386983-8.00007-X</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lastRenderedPageBreak/>
        <w:t>Yeates, G.W., 1994. Modification and qualification of the nematode maturity index. Pedobiologia (Germany).</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Yeates, G.W., Bongers, T., 1999. Nematode diversity in agroecosystems. Agric. Ecosyst. Environ. 74, 113–135.</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Yu, D.W., Ji, Y., Emerson, B.C., Wang, X., Ye, C., Yang, C., Ding, Z., 2012. Biodiversity soup: metabarcoding of arthropods for rapid biodiversity assessment and biomonitoring. Methods Ecol. Evol. 3, 613–623.</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lang w:val="en-US"/>
        </w:rPr>
      </w:pPr>
      <w:r w:rsidRPr="0023180E">
        <w:rPr>
          <w:rFonts w:ascii="Arial" w:hAnsi="Arial" w:cs="Arial"/>
          <w:noProof/>
          <w:sz w:val="22"/>
          <w:szCs w:val="22"/>
          <w:lang w:val="en-US"/>
        </w:rPr>
        <w:t>Zhang, Z., Schwartz, S., Wagner, L., Miller, W., 2000. A greedy algorithm for aligning DNA sequences. J. Comput. Biol. 7, 203–214.</w:t>
      </w:r>
    </w:p>
    <w:p w:rsidR="0023180E" w:rsidRPr="0023180E" w:rsidRDefault="0023180E" w:rsidP="0023180E">
      <w:pPr>
        <w:widowControl w:val="0"/>
        <w:autoSpaceDE w:val="0"/>
        <w:autoSpaceDN w:val="0"/>
        <w:adjustRightInd w:val="0"/>
        <w:spacing w:after="240"/>
        <w:ind w:left="480" w:hanging="480"/>
        <w:rPr>
          <w:rFonts w:ascii="Arial" w:hAnsi="Arial" w:cs="Arial"/>
          <w:noProof/>
          <w:sz w:val="22"/>
          <w:szCs w:val="22"/>
        </w:rPr>
      </w:pPr>
      <w:r w:rsidRPr="0023180E">
        <w:rPr>
          <w:rFonts w:ascii="Arial" w:hAnsi="Arial" w:cs="Arial"/>
          <w:noProof/>
          <w:sz w:val="22"/>
          <w:szCs w:val="22"/>
          <w:lang w:val="en-US"/>
        </w:rPr>
        <w:t>Zimmermann, J., Glöckner, G., Jahn, R., Enke, N., Gemeinholzer, B., 2015. Metabarcoding vs. morphological identification to assess diatom diversity in environmental studies. Mol. Ecol. Resour. 15, 526–542.</w:t>
      </w:r>
    </w:p>
    <w:p w:rsidR="00164794" w:rsidRPr="0023180E" w:rsidRDefault="0023180E" w:rsidP="0023180E">
      <w:pPr>
        <w:spacing w:after="240"/>
        <w:rPr>
          <w:rFonts w:ascii="Arial" w:hAnsi="Arial" w:cs="Arial"/>
          <w:sz w:val="22"/>
          <w:szCs w:val="22"/>
        </w:rPr>
      </w:pPr>
      <w:r w:rsidRPr="0023180E">
        <w:rPr>
          <w:rFonts w:ascii="Arial" w:hAnsi="Arial" w:cs="Arial"/>
          <w:sz w:val="22"/>
          <w:szCs w:val="22"/>
        </w:rPr>
        <w:fldChar w:fldCharType="end"/>
      </w:r>
    </w:p>
    <w:sectPr w:rsidR="00164794" w:rsidRPr="0023180E" w:rsidSect="00164794">
      <w:type w:val="continuous"/>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287" w:rsidRDefault="00EE4287" w:rsidP="00164794">
      <w:r>
        <w:separator/>
      </w:r>
    </w:p>
  </w:endnote>
  <w:endnote w:type="continuationSeparator" w:id="0">
    <w:p w:rsidR="00EE4287" w:rsidRDefault="00EE4287" w:rsidP="00164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287" w:rsidRDefault="00EE4287" w:rsidP="00164794">
      <w:r>
        <w:separator/>
      </w:r>
    </w:p>
  </w:footnote>
  <w:footnote w:type="continuationSeparator" w:id="0">
    <w:p w:rsidR="00EE4287" w:rsidRDefault="00EE4287" w:rsidP="001647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6783A"/>
    <w:multiLevelType w:val="multilevel"/>
    <w:tmpl w:val="74962E7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B446B5F"/>
    <w:multiLevelType w:val="multilevel"/>
    <w:tmpl w:val="08090025"/>
    <w:lvl w:ilvl="0">
      <w:start w:val="1"/>
      <w:numFmt w:val="decimal"/>
      <w:lvlText w:val="%1"/>
      <w:lvlJc w:val="left"/>
      <w:pPr>
        <w:ind w:left="432" w:hanging="432"/>
      </w:pPr>
    </w:lvl>
    <w:lvl w:ilvl="1">
      <w:start w:val="1"/>
      <w:numFmt w:val="decimal"/>
      <w:lvlText w:val="%1.%2"/>
      <w:lvlJc w:val="left"/>
      <w:pPr>
        <w:ind w:left="-1834" w:hanging="576"/>
      </w:pPr>
    </w:lvl>
    <w:lvl w:ilvl="2">
      <w:start w:val="1"/>
      <w:numFmt w:val="decimal"/>
      <w:lvlText w:val="%1.%2.%3"/>
      <w:lvlJc w:val="left"/>
      <w:pPr>
        <w:ind w:left="-2399" w:hanging="720"/>
      </w:pPr>
    </w:lvl>
    <w:lvl w:ilvl="3">
      <w:start w:val="1"/>
      <w:numFmt w:val="decimal"/>
      <w:lvlText w:val="%1.%2.%3.%4"/>
      <w:lvlJc w:val="left"/>
      <w:pPr>
        <w:ind w:left="-2255" w:hanging="864"/>
      </w:pPr>
    </w:lvl>
    <w:lvl w:ilvl="4">
      <w:start w:val="1"/>
      <w:numFmt w:val="decimal"/>
      <w:lvlText w:val="%1.%2.%3.%4.%5"/>
      <w:lvlJc w:val="left"/>
      <w:pPr>
        <w:ind w:left="-2111" w:hanging="1008"/>
      </w:pPr>
    </w:lvl>
    <w:lvl w:ilvl="5">
      <w:start w:val="1"/>
      <w:numFmt w:val="decimal"/>
      <w:lvlText w:val="%1.%2.%3.%4.%5.%6"/>
      <w:lvlJc w:val="left"/>
      <w:pPr>
        <w:ind w:left="-1967" w:hanging="1152"/>
      </w:pPr>
    </w:lvl>
    <w:lvl w:ilvl="6">
      <w:start w:val="1"/>
      <w:numFmt w:val="decimal"/>
      <w:lvlText w:val="%1.%2.%3.%4.%5.%6.%7"/>
      <w:lvlJc w:val="left"/>
      <w:pPr>
        <w:ind w:left="-1823" w:hanging="1296"/>
      </w:pPr>
    </w:lvl>
    <w:lvl w:ilvl="7">
      <w:start w:val="1"/>
      <w:numFmt w:val="decimal"/>
      <w:lvlText w:val="%1.%2.%3.%4.%5.%6.%7.%8"/>
      <w:lvlJc w:val="left"/>
      <w:pPr>
        <w:ind w:left="-1679" w:hanging="1440"/>
      </w:pPr>
    </w:lvl>
    <w:lvl w:ilvl="8">
      <w:start w:val="1"/>
      <w:numFmt w:val="decimal"/>
      <w:lvlText w:val="%1.%2.%3.%4.%5.%6.%7.%8.%9"/>
      <w:lvlJc w:val="left"/>
      <w:pPr>
        <w:ind w:left="-1535" w:hanging="1584"/>
      </w:pPr>
    </w:lvl>
  </w:abstractNum>
  <w:abstractNum w:abstractNumId="2" w15:restartNumberingAfterBreak="0">
    <w:nsid w:val="1B5A06B6"/>
    <w:multiLevelType w:val="hybridMultilevel"/>
    <w:tmpl w:val="AA4E02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876A8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F43DC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7B502B"/>
    <w:multiLevelType w:val="hybridMultilevel"/>
    <w:tmpl w:val="F328D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662BE"/>
    <w:multiLevelType w:val="hybridMultilevel"/>
    <w:tmpl w:val="8B303F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000B46"/>
    <w:multiLevelType w:val="multilevel"/>
    <w:tmpl w:val="AFAE1FA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1CD0D0D"/>
    <w:multiLevelType w:val="multilevel"/>
    <w:tmpl w:val="9A983C1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7B44BFD"/>
    <w:multiLevelType w:val="multilevel"/>
    <w:tmpl w:val="08090025"/>
    <w:lvl w:ilvl="0">
      <w:start w:val="1"/>
      <w:numFmt w:val="decimal"/>
      <w:lvlText w:val="%1"/>
      <w:lvlJc w:val="left"/>
      <w:pPr>
        <w:ind w:left="432" w:hanging="432"/>
      </w:pPr>
    </w:lvl>
    <w:lvl w:ilvl="1">
      <w:start w:val="1"/>
      <w:numFmt w:val="decimal"/>
      <w:pStyle w:val="Heading2"/>
      <w:lvlText w:val="%1.%2"/>
      <w:lvlJc w:val="left"/>
      <w:pPr>
        <w:ind w:left="-1834" w:hanging="576"/>
      </w:pPr>
    </w:lvl>
    <w:lvl w:ilvl="2">
      <w:start w:val="1"/>
      <w:numFmt w:val="decimal"/>
      <w:pStyle w:val="Heading3"/>
      <w:lvlText w:val="%1.%2.%3"/>
      <w:lvlJc w:val="left"/>
      <w:pPr>
        <w:ind w:left="-2399" w:hanging="720"/>
      </w:pPr>
    </w:lvl>
    <w:lvl w:ilvl="3">
      <w:start w:val="1"/>
      <w:numFmt w:val="decimal"/>
      <w:pStyle w:val="Heading4"/>
      <w:lvlText w:val="%1.%2.%3.%4"/>
      <w:lvlJc w:val="left"/>
      <w:pPr>
        <w:ind w:left="-2255" w:hanging="864"/>
      </w:pPr>
    </w:lvl>
    <w:lvl w:ilvl="4">
      <w:start w:val="1"/>
      <w:numFmt w:val="decimal"/>
      <w:pStyle w:val="Heading5"/>
      <w:lvlText w:val="%1.%2.%3.%4.%5"/>
      <w:lvlJc w:val="left"/>
      <w:pPr>
        <w:ind w:left="-2111" w:hanging="1008"/>
      </w:pPr>
    </w:lvl>
    <w:lvl w:ilvl="5">
      <w:start w:val="1"/>
      <w:numFmt w:val="decimal"/>
      <w:pStyle w:val="Heading6"/>
      <w:lvlText w:val="%1.%2.%3.%4.%5.%6"/>
      <w:lvlJc w:val="left"/>
      <w:pPr>
        <w:ind w:left="-1967" w:hanging="1152"/>
      </w:pPr>
    </w:lvl>
    <w:lvl w:ilvl="6">
      <w:start w:val="1"/>
      <w:numFmt w:val="decimal"/>
      <w:pStyle w:val="Heading7"/>
      <w:lvlText w:val="%1.%2.%3.%4.%5.%6.%7"/>
      <w:lvlJc w:val="left"/>
      <w:pPr>
        <w:ind w:left="-1823" w:hanging="1296"/>
      </w:pPr>
    </w:lvl>
    <w:lvl w:ilvl="7">
      <w:start w:val="1"/>
      <w:numFmt w:val="decimal"/>
      <w:pStyle w:val="Heading8"/>
      <w:lvlText w:val="%1.%2.%3.%4.%5.%6.%7.%8"/>
      <w:lvlJc w:val="left"/>
      <w:pPr>
        <w:ind w:left="-1679" w:hanging="1440"/>
      </w:pPr>
    </w:lvl>
    <w:lvl w:ilvl="8">
      <w:start w:val="1"/>
      <w:numFmt w:val="decimal"/>
      <w:pStyle w:val="Heading9"/>
      <w:lvlText w:val="%1.%2.%3.%4.%5.%6.%7.%8.%9"/>
      <w:lvlJc w:val="left"/>
      <w:pPr>
        <w:ind w:left="-1535" w:hanging="1584"/>
      </w:pPr>
    </w:lvl>
  </w:abstractNum>
  <w:abstractNum w:abstractNumId="10" w15:restartNumberingAfterBreak="0">
    <w:nsid w:val="5F4E7D3D"/>
    <w:multiLevelType w:val="hybridMultilevel"/>
    <w:tmpl w:val="A8B23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516BA0"/>
    <w:multiLevelType w:val="hybridMultilevel"/>
    <w:tmpl w:val="6FB04E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0B36C80"/>
    <w:multiLevelType w:val="hybridMultilevel"/>
    <w:tmpl w:val="61AC68A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0"/>
  </w:num>
  <w:num w:numId="5">
    <w:abstractNumId w:val="7"/>
  </w:num>
  <w:num w:numId="6">
    <w:abstractNumId w:val="9"/>
  </w:num>
  <w:num w:numId="7">
    <w:abstractNumId w:val="6"/>
  </w:num>
  <w:num w:numId="8">
    <w:abstractNumId w:val="10"/>
  </w:num>
  <w:num w:numId="9">
    <w:abstractNumId w:val="11"/>
  </w:num>
  <w:num w:numId="10">
    <w:abstractNumId w:val="2"/>
  </w:num>
  <w:num w:numId="11">
    <w:abstractNumId w:val="5"/>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794"/>
    <w:rsid w:val="000118C5"/>
    <w:rsid w:val="0007286E"/>
    <w:rsid w:val="00164794"/>
    <w:rsid w:val="0023180E"/>
    <w:rsid w:val="00232388"/>
    <w:rsid w:val="00247886"/>
    <w:rsid w:val="002F1A38"/>
    <w:rsid w:val="003573F0"/>
    <w:rsid w:val="00491366"/>
    <w:rsid w:val="0049277A"/>
    <w:rsid w:val="004E6825"/>
    <w:rsid w:val="005A2F6C"/>
    <w:rsid w:val="005B5033"/>
    <w:rsid w:val="005C7667"/>
    <w:rsid w:val="00827842"/>
    <w:rsid w:val="00876E58"/>
    <w:rsid w:val="008D369F"/>
    <w:rsid w:val="008D4979"/>
    <w:rsid w:val="009F65B3"/>
    <w:rsid w:val="00B23223"/>
    <w:rsid w:val="00BA714B"/>
    <w:rsid w:val="00CE5417"/>
    <w:rsid w:val="00D13840"/>
    <w:rsid w:val="00E31320"/>
    <w:rsid w:val="00EA58CE"/>
    <w:rsid w:val="00EB3C01"/>
    <w:rsid w:val="00EE4287"/>
    <w:rsid w:val="00F023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7FAA7036"/>
  <w14:defaultImageDpi w14:val="32767"/>
  <w15:chartTrackingRefBased/>
  <w15:docId w15:val="{0664062F-7CD5-9943-BB4E-BF912EAA1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794"/>
    <w:pPr>
      <w:keepNext/>
      <w:keepLines/>
      <w:spacing w:before="24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164794"/>
    <w:pPr>
      <w:keepNext/>
      <w:keepLines/>
      <w:numPr>
        <w:ilvl w:val="1"/>
        <w:numId w:val="6"/>
      </w:numPr>
      <w:spacing w:before="40" w:after="12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64794"/>
    <w:pPr>
      <w:keepNext/>
      <w:keepLines/>
      <w:numPr>
        <w:ilvl w:val="2"/>
        <w:numId w:val="6"/>
      </w:numPr>
      <w:spacing w:before="40" w:after="120"/>
      <w:outlineLvl w:val="2"/>
    </w:pPr>
    <w:rPr>
      <w:rFonts w:ascii="Arial" w:eastAsiaTheme="majorEastAsia" w:hAnsi="Arial" w:cstheme="majorBidi"/>
      <w:b/>
      <w:color w:val="000000" w:themeColor="text1"/>
      <w:sz w:val="28"/>
    </w:rPr>
  </w:style>
  <w:style w:type="paragraph" w:styleId="Heading4">
    <w:name w:val="heading 4"/>
    <w:basedOn w:val="Normal"/>
    <w:next w:val="Normal"/>
    <w:link w:val="Heading4Char"/>
    <w:uiPriority w:val="9"/>
    <w:unhideWhenUsed/>
    <w:qFormat/>
    <w:rsid w:val="00164794"/>
    <w:pPr>
      <w:keepNext/>
      <w:keepLines/>
      <w:numPr>
        <w:ilvl w:val="3"/>
        <w:numId w:val="6"/>
      </w:numPr>
      <w:spacing w:before="40" w:after="120"/>
      <w:ind w:left="862" w:hanging="862"/>
      <w:outlineLvl w:val="3"/>
    </w:pPr>
    <w:rPr>
      <w:rFonts w:ascii="Arial" w:eastAsiaTheme="majorEastAsia" w:hAnsi="Arial" w:cstheme="majorBidi"/>
      <w:b/>
      <w:iCs/>
      <w:color w:val="000000" w:themeColor="text1"/>
      <w:sz w:val="28"/>
    </w:rPr>
  </w:style>
  <w:style w:type="paragraph" w:styleId="Heading5">
    <w:name w:val="heading 5"/>
    <w:basedOn w:val="Normal"/>
    <w:next w:val="Normal"/>
    <w:link w:val="Heading5Char"/>
    <w:uiPriority w:val="9"/>
    <w:unhideWhenUsed/>
    <w:qFormat/>
    <w:rsid w:val="00164794"/>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64794"/>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64794"/>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64794"/>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794"/>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794"/>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164794"/>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64794"/>
    <w:rPr>
      <w:rFonts w:ascii="Arial" w:eastAsiaTheme="majorEastAsia" w:hAnsi="Arial" w:cstheme="majorBidi"/>
      <w:b/>
      <w:color w:val="000000" w:themeColor="text1"/>
      <w:sz w:val="28"/>
    </w:rPr>
  </w:style>
  <w:style w:type="character" w:customStyle="1" w:styleId="Heading4Char">
    <w:name w:val="Heading 4 Char"/>
    <w:basedOn w:val="DefaultParagraphFont"/>
    <w:link w:val="Heading4"/>
    <w:uiPriority w:val="9"/>
    <w:rsid w:val="00164794"/>
    <w:rPr>
      <w:rFonts w:ascii="Arial" w:eastAsiaTheme="majorEastAsia" w:hAnsi="Arial" w:cstheme="majorBidi"/>
      <w:b/>
      <w:iCs/>
      <w:color w:val="000000" w:themeColor="text1"/>
      <w:sz w:val="28"/>
    </w:rPr>
  </w:style>
  <w:style w:type="character" w:customStyle="1" w:styleId="Heading5Char">
    <w:name w:val="Heading 5 Char"/>
    <w:basedOn w:val="DefaultParagraphFont"/>
    <w:link w:val="Heading5"/>
    <w:uiPriority w:val="9"/>
    <w:rsid w:val="001647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647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647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647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794"/>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rsid w:val="00164794"/>
  </w:style>
  <w:style w:type="paragraph" w:styleId="Header">
    <w:name w:val="header"/>
    <w:basedOn w:val="Normal"/>
    <w:link w:val="HeaderChar"/>
    <w:uiPriority w:val="99"/>
    <w:unhideWhenUsed/>
    <w:rsid w:val="00164794"/>
    <w:pPr>
      <w:tabs>
        <w:tab w:val="center" w:pos="4513"/>
        <w:tab w:val="right" w:pos="9026"/>
      </w:tabs>
    </w:pPr>
  </w:style>
  <w:style w:type="character" w:customStyle="1" w:styleId="HeaderChar1">
    <w:name w:val="Header Char1"/>
    <w:basedOn w:val="DefaultParagraphFont"/>
    <w:uiPriority w:val="99"/>
    <w:semiHidden/>
    <w:rsid w:val="00164794"/>
  </w:style>
  <w:style w:type="character" w:customStyle="1" w:styleId="FooterChar">
    <w:name w:val="Footer Char"/>
    <w:basedOn w:val="DefaultParagraphFont"/>
    <w:link w:val="Footer"/>
    <w:uiPriority w:val="99"/>
    <w:rsid w:val="00164794"/>
  </w:style>
  <w:style w:type="paragraph" w:styleId="Footer">
    <w:name w:val="footer"/>
    <w:basedOn w:val="Normal"/>
    <w:link w:val="FooterChar"/>
    <w:uiPriority w:val="99"/>
    <w:unhideWhenUsed/>
    <w:rsid w:val="00164794"/>
    <w:pPr>
      <w:tabs>
        <w:tab w:val="center" w:pos="4513"/>
        <w:tab w:val="right" w:pos="9026"/>
      </w:tabs>
    </w:pPr>
  </w:style>
  <w:style w:type="character" w:customStyle="1" w:styleId="FooterChar1">
    <w:name w:val="Footer Char1"/>
    <w:basedOn w:val="DefaultParagraphFont"/>
    <w:uiPriority w:val="99"/>
    <w:semiHidden/>
    <w:rsid w:val="00164794"/>
  </w:style>
  <w:style w:type="character" w:customStyle="1" w:styleId="CommentTextChar">
    <w:name w:val="Comment Text Char"/>
    <w:basedOn w:val="DefaultParagraphFont"/>
    <w:link w:val="CommentText"/>
    <w:uiPriority w:val="99"/>
    <w:semiHidden/>
    <w:rsid w:val="00164794"/>
    <w:rPr>
      <w:sz w:val="20"/>
      <w:szCs w:val="20"/>
    </w:rPr>
  </w:style>
  <w:style w:type="paragraph" w:styleId="CommentText">
    <w:name w:val="annotation text"/>
    <w:basedOn w:val="Normal"/>
    <w:link w:val="CommentTextChar"/>
    <w:uiPriority w:val="99"/>
    <w:semiHidden/>
    <w:unhideWhenUsed/>
    <w:rsid w:val="00164794"/>
    <w:rPr>
      <w:sz w:val="20"/>
      <w:szCs w:val="20"/>
    </w:rPr>
  </w:style>
  <w:style w:type="character" w:customStyle="1" w:styleId="CommentTextChar1">
    <w:name w:val="Comment Text Char1"/>
    <w:basedOn w:val="DefaultParagraphFont"/>
    <w:uiPriority w:val="99"/>
    <w:semiHidden/>
    <w:rsid w:val="00164794"/>
    <w:rPr>
      <w:sz w:val="20"/>
      <w:szCs w:val="20"/>
    </w:rPr>
  </w:style>
  <w:style w:type="character" w:customStyle="1" w:styleId="CommentSubjectChar">
    <w:name w:val="Comment Subject Char"/>
    <w:basedOn w:val="CommentTextChar"/>
    <w:link w:val="CommentSubject"/>
    <w:uiPriority w:val="99"/>
    <w:semiHidden/>
    <w:rsid w:val="00164794"/>
    <w:rPr>
      <w:b/>
      <w:bCs/>
      <w:sz w:val="20"/>
      <w:szCs w:val="20"/>
    </w:rPr>
  </w:style>
  <w:style w:type="paragraph" w:styleId="CommentSubject">
    <w:name w:val="annotation subject"/>
    <w:basedOn w:val="CommentText"/>
    <w:next w:val="CommentText"/>
    <w:link w:val="CommentSubjectChar"/>
    <w:uiPriority w:val="99"/>
    <w:semiHidden/>
    <w:unhideWhenUsed/>
    <w:rsid w:val="00164794"/>
    <w:rPr>
      <w:b/>
      <w:bCs/>
    </w:rPr>
  </w:style>
  <w:style w:type="character" w:customStyle="1" w:styleId="CommentSubjectChar1">
    <w:name w:val="Comment Subject Char1"/>
    <w:basedOn w:val="CommentTextChar1"/>
    <w:uiPriority w:val="99"/>
    <w:semiHidden/>
    <w:rsid w:val="00164794"/>
    <w:rPr>
      <w:b/>
      <w:bCs/>
      <w:sz w:val="20"/>
      <w:szCs w:val="20"/>
    </w:rPr>
  </w:style>
  <w:style w:type="character" w:customStyle="1" w:styleId="BalloonTextChar">
    <w:name w:val="Balloon Text Char"/>
    <w:basedOn w:val="DefaultParagraphFont"/>
    <w:link w:val="BalloonText"/>
    <w:uiPriority w:val="99"/>
    <w:semiHidden/>
    <w:rsid w:val="00164794"/>
    <w:rPr>
      <w:rFonts w:ascii="Segoe UI" w:hAnsi="Segoe UI" w:cs="Segoe UI"/>
      <w:sz w:val="18"/>
      <w:szCs w:val="18"/>
    </w:rPr>
  </w:style>
  <w:style w:type="paragraph" w:styleId="BalloonText">
    <w:name w:val="Balloon Text"/>
    <w:basedOn w:val="Normal"/>
    <w:link w:val="BalloonTextChar"/>
    <w:uiPriority w:val="99"/>
    <w:semiHidden/>
    <w:unhideWhenUsed/>
    <w:rsid w:val="00164794"/>
    <w:rPr>
      <w:rFonts w:ascii="Segoe UI" w:hAnsi="Segoe UI" w:cs="Segoe UI"/>
      <w:sz w:val="18"/>
      <w:szCs w:val="18"/>
    </w:rPr>
  </w:style>
  <w:style w:type="character" w:customStyle="1" w:styleId="BalloonTextChar1">
    <w:name w:val="Balloon Text Char1"/>
    <w:basedOn w:val="DefaultParagraphFont"/>
    <w:uiPriority w:val="99"/>
    <w:semiHidden/>
    <w:rsid w:val="00164794"/>
    <w:rPr>
      <w:rFonts w:ascii="Times New Roman" w:hAnsi="Times New Roman" w:cs="Times New Roman"/>
      <w:sz w:val="18"/>
      <w:szCs w:val="18"/>
    </w:rPr>
  </w:style>
  <w:style w:type="character" w:styleId="Hyperlink">
    <w:name w:val="Hyperlink"/>
    <w:basedOn w:val="DefaultParagraphFont"/>
    <w:uiPriority w:val="99"/>
    <w:unhideWhenUsed/>
    <w:rsid w:val="00164794"/>
    <w:rPr>
      <w:color w:val="0563C1" w:themeColor="hyperlink"/>
      <w:u w:val="single"/>
    </w:rPr>
  </w:style>
  <w:style w:type="paragraph" w:styleId="Caption">
    <w:name w:val="caption"/>
    <w:basedOn w:val="Normal"/>
    <w:next w:val="Normal"/>
    <w:uiPriority w:val="35"/>
    <w:unhideWhenUsed/>
    <w:qFormat/>
    <w:rsid w:val="00164794"/>
    <w:pPr>
      <w:spacing w:after="200"/>
    </w:pPr>
    <w:rPr>
      <w:rFonts w:ascii="Arial" w:hAnsi="Arial"/>
      <w:i/>
      <w:iCs/>
      <w:color w:val="44546A" w:themeColor="text2"/>
      <w:sz w:val="18"/>
      <w:szCs w:val="18"/>
    </w:rPr>
  </w:style>
  <w:style w:type="paragraph" w:customStyle="1" w:styleId="p1">
    <w:name w:val="p1"/>
    <w:basedOn w:val="Normal"/>
    <w:rsid w:val="00164794"/>
    <w:rPr>
      <w:rFonts w:ascii="Times" w:hAnsi="Times" w:cs="Times New Roman"/>
      <w:sz w:val="14"/>
      <w:szCs w:val="14"/>
      <w:lang w:eastAsia="en-GB"/>
    </w:rPr>
  </w:style>
  <w:style w:type="character" w:styleId="PageNumber">
    <w:name w:val="page number"/>
    <w:basedOn w:val="DefaultParagraphFont"/>
    <w:uiPriority w:val="99"/>
    <w:semiHidden/>
    <w:unhideWhenUsed/>
    <w:rsid w:val="00164794"/>
  </w:style>
  <w:style w:type="character" w:styleId="FollowedHyperlink">
    <w:name w:val="FollowedHyperlink"/>
    <w:basedOn w:val="DefaultParagraphFont"/>
    <w:uiPriority w:val="99"/>
    <w:semiHidden/>
    <w:unhideWhenUsed/>
    <w:rsid w:val="00164794"/>
    <w:rPr>
      <w:color w:val="954F72" w:themeColor="followedHyperlink"/>
      <w:u w:val="single"/>
    </w:rPr>
  </w:style>
  <w:style w:type="table" w:styleId="TableGrid">
    <w:name w:val="Table Grid"/>
    <w:basedOn w:val="TableNormal"/>
    <w:uiPriority w:val="39"/>
    <w:rsid w:val="00164794"/>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4794"/>
    <w:pPr>
      <w:ind w:left="720"/>
      <w:contextualSpacing/>
    </w:pPr>
    <w:rPr>
      <w:rFonts w:ascii="Arial" w:hAnsi="Arial"/>
    </w:rPr>
  </w:style>
  <w:style w:type="character" w:styleId="CommentReference">
    <w:name w:val="annotation reference"/>
    <w:basedOn w:val="DefaultParagraphFont"/>
    <w:uiPriority w:val="99"/>
    <w:semiHidden/>
    <w:unhideWhenUsed/>
    <w:rsid w:val="00164794"/>
    <w:rPr>
      <w:sz w:val="16"/>
      <w:szCs w:val="16"/>
    </w:rPr>
  </w:style>
  <w:style w:type="paragraph" w:customStyle="1" w:styleId="Body">
    <w:name w:val="Body"/>
    <w:rsid w:val="00164794"/>
    <w:pPr>
      <w:keepNext/>
      <w:shd w:val="clear" w:color="auto" w:fill="FFFFFF"/>
      <w:autoSpaceDN w:val="0"/>
      <w:spacing w:after="200" w:line="276" w:lineRule="auto"/>
      <w:textAlignment w:val="baseline"/>
    </w:pPr>
    <w:rPr>
      <w:rFonts w:ascii="Calibri" w:eastAsia="Calibri" w:hAnsi="Calibri" w:cs="Calibri"/>
      <w:color w:val="000000"/>
      <w:kern w:val="3"/>
      <w:sz w:val="22"/>
      <w:szCs w:val="22"/>
      <w:lang w:val="en-US" w:eastAsia="zh-CN" w:bidi="hi-IN"/>
    </w:rPr>
  </w:style>
  <w:style w:type="paragraph" w:styleId="NormalWeb">
    <w:name w:val="Normal (Web)"/>
    <w:basedOn w:val="Normal"/>
    <w:uiPriority w:val="99"/>
    <w:unhideWhenUsed/>
    <w:rsid w:val="00164794"/>
    <w:pPr>
      <w:spacing w:before="100" w:beforeAutospacing="1" w:after="100" w:afterAutospacing="1"/>
    </w:pPr>
    <w:rPr>
      <w:rFonts w:ascii="Times New Roman" w:hAnsi="Times New Roman" w:cs="Times New Roman"/>
      <w:lang w:val="en-US"/>
    </w:rPr>
  </w:style>
  <w:style w:type="paragraph" w:styleId="Revision">
    <w:name w:val="Revision"/>
    <w:hidden/>
    <w:uiPriority w:val="99"/>
    <w:semiHidden/>
    <w:rsid w:val="00164794"/>
  </w:style>
  <w:style w:type="character" w:customStyle="1" w:styleId="UnresolvedMention1">
    <w:name w:val="Unresolved Mention1"/>
    <w:basedOn w:val="DefaultParagraphFont"/>
    <w:uiPriority w:val="99"/>
    <w:unhideWhenUsed/>
    <w:rsid w:val="00164794"/>
    <w:rPr>
      <w:color w:val="808080"/>
      <w:shd w:val="clear" w:color="auto" w:fill="E6E6E6"/>
    </w:rPr>
  </w:style>
  <w:style w:type="paragraph" w:styleId="NoSpacing">
    <w:name w:val="No Spacing"/>
    <w:uiPriority w:val="1"/>
    <w:qFormat/>
    <w:rsid w:val="00164794"/>
    <w:rPr>
      <w:rFonts w:ascii="Arial" w:hAnsi="Arial"/>
    </w:rPr>
  </w:style>
  <w:style w:type="paragraph" w:customStyle="1" w:styleId="msonormal0">
    <w:name w:val="msonormal"/>
    <w:basedOn w:val="Normal"/>
    <w:rsid w:val="00164794"/>
    <w:pPr>
      <w:spacing w:before="100" w:beforeAutospacing="1" w:after="100" w:afterAutospacing="1"/>
    </w:pPr>
    <w:rPr>
      <w:rFonts w:ascii="Times New Roman" w:eastAsia="Times New Roman" w:hAnsi="Times New Roman" w:cs="Times New Roman"/>
      <w:lang w:eastAsia="en-GB"/>
    </w:rPr>
  </w:style>
  <w:style w:type="paragraph" w:styleId="Title">
    <w:name w:val="Title"/>
    <w:basedOn w:val="Normal"/>
    <w:next w:val="Normal"/>
    <w:link w:val="TitleChar"/>
    <w:uiPriority w:val="10"/>
    <w:qFormat/>
    <w:rsid w:val="001647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794"/>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164794"/>
  </w:style>
  <w:style w:type="paragraph" w:styleId="TOCHeading">
    <w:name w:val="TOC Heading"/>
    <w:basedOn w:val="Heading1"/>
    <w:next w:val="Normal"/>
    <w:uiPriority w:val="39"/>
    <w:unhideWhenUsed/>
    <w:qFormat/>
    <w:rsid w:val="00164794"/>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164794"/>
    <w:pPr>
      <w:spacing w:after="100"/>
    </w:pPr>
    <w:rPr>
      <w:rFonts w:ascii="Arial" w:hAnsi="Arial"/>
    </w:rPr>
  </w:style>
  <w:style w:type="paragraph" w:styleId="TOC2">
    <w:name w:val="toc 2"/>
    <w:basedOn w:val="Normal"/>
    <w:next w:val="Normal"/>
    <w:autoRedefine/>
    <w:uiPriority w:val="39"/>
    <w:unhideWhenUsed/>
    <w:rsid w:val="00164794"/>
    <w:pPr>
      <w:spacing w:after="100"/>
      <w:ind w:left="240"/>
    </w:pPr>
    <w:rPr>
      <w:rFonts w:ascii="Arial" w:hAnsi="Arial"/>
    </w:rPr>
  </w:style>
  <w:style w:type="paragraph" w:styleId="TOC3">
    <w:name w:val="toc 3"/>
    <w:basedOn w:val="Normal"/>
    <w:next w:val="Normal"/>
    <w:autoRedefine/>
    <w:uiPriority w:val="39"/>
    <w:unhideWhenUsed/>
    <w:rsid w:val="00164794"/>
    <w:pPr>
      <w:spacing w:after="100"/>
      <w:ind w:left="480"/>
    </w:pPr>
    <w:rPr>
      <w:rFonts w:ascii="Arial" w:hAnsi="Arial"/>
    </w:rPr>
  </w:style>
  <w:style w:type="paragraph" w:styleId="TableofFigures">
    <w:name w:val="table of figures"/>
    <w:basedOn w:val="Normal"/>
    <w:next w:val="Normal"/>
    <w:uiPriority w:val="99"/>
    <w:unhideWhenUsed/>
    <w:rsid w:val="00164794"/>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Users\mohammedahmed\Desktop\Thesis\RData\raw_sample_sheet_mor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ohammedahmed\Desktop\Thesis\RData\raw_sample_sheet_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ohammedahmed\Desktop\Thesis\RData\raw_sample_sheet_morp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mohammedahmed\Desktop\Thesis\RData\raw_sample_sheet_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Book Antiqua" panose="02040602050305030304" pitchFamily="18" charset="0"/>
              </a:rPr>
              <a:t> </a:t>
            </a:r>
            <a:r>
              <a:rPr lang="en-US">
                <a:latin typeface="Book Antiqua" panose="02040602050305030304" pitchFamily="18" charset="0"/>
              </a:rPr>
              <a:t>                STD Traffic</a:t>
            </a:r>
          </a:p>
        </c:rich>
      </c:tx>
      <c:layout>
        <c:manualLayout>
          <c:xMode val="edge"/>
          <c:yMode val="edge"/>
          <c:x val="3.5613613306550718E-2"/>
          <c:y val="2.27617602427921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Traffic!$B$1</c:f>
              <c:strCache>
                <c:ptCount val="1"/>
                <c:pt idx="0">
                  <c:v>Herbivores</c:v>
                </c:pt>
              </c:strCache>
            </c:strRef>
          </c:tx>
          <c:spPr>
            <a:solidFill>
              <a:schemeClr val="accent1"/>
            </a:solidFill>
            <a:ln>
              <a:noFill/>
            </a:ln>
            <a:effectLst/>
          </c:spPr>
          <c:invertIfNegative val="0"/>
          <c:cat>
            <c:strRef>
              <c:f>Traffic!$A$2:$A$4</c:f>
              <c:strCache>
                <c:ptCount val="3"/>
                <c:pt idx="0">
                  <c:v>CTF </c:v>
                </c:pt>
                <c:pt idx="1">
                  <c:v>LGP </c:v>
                </c:pt>
                <c:pt idx="2">
                  <c:v>RTF </c:v>
                </c:pt>
              </c:strCache>
            </c:strRef>
          </c:cat>
          <c:val>
            <c:numRef>
              <c:f>Traffic!$B$2:$B$4</c:f>
              <c:numCache>
                <c:formatCode>General</c:formatCode>
                <c:ptCount val="3"/>
                <c:pt idx="0">
                  <c:v>42.697222222222223</c:v>
                </c:pt>
                <c:pt idx="1">
                  <c:v>44.13055555555556</c:v>
                </c:pt>
                <c:pt idx="2">
                  <c:v>45.12777777777778</c:v>
                </c:pt>
              </c:numCache>
            </c:numRef>
          </c:val>
          <c:extLst>
            <c:ext xmlns:c16="http://schemas.microsoft.com/office/drawing/2014/chart" uri="{C3380CC4-5D6E-409C-BE32-E72D297353CC}">
              <c16:uniqueId val="{00000000-CB3B-9E40-9C3D-8A7F59D6D186}"/>
            </c:ext>
          </c:extLst>
        </c:ser>
        <c:ser>
          <c:idx val="1"/>
          <c:order val="1"/>
          <c:tx>
            <c:strRef>
              <c:f>Traffic!$C$1</c:f>
              <c:strCache>
                <c:ptCount val="1"/>
                <c:pt idx="0">
                  <c:v>Fungivores</c:v>
                </c:pt>
              </c:strCache>
            </c:strRef>
          </c:tx>
          <c:spPr>
            <a:solidFill>
              <a:schemeClr val="accent2"/>
            </a:solidFill>
            <a:ln>
              <a:noFill/>
            </a:ln>
            <a:effectLst/>
          </c:spPr>
          <c:invertIfNegative val="0"/>
          <c:cat>
            <c:strRef>
              <c:f>Traffic!$A$2:$A$4</c:f>
              <c:strCache>
                <c:ptCount val="3"/>
                <c:pt idx="0">
                  <c:v>CTF </c:v>
                </c:pt>
                <c:pt idx="1">
                  <c:v>LGP </c:v>
                </c:pt>
                <c:pt idx="2">
                  <c:v>RTF </c:v>
                </c:pt>
              </c:strCache>
            </c:strRef>
          </c:cat>
          <c:val>
            <c:numRef>
              <c:f>Traffic!$C$2:$C$4</c:f>
              <c:numCache>
                <c:formatCode>General</c:formatCode>
                <c:ptCount val="3"/>
                <c:pt idx="0">
                  <c:v>8.4777777777777779</c:v>
                </c:pt>
                <c:pt idx="1">
                  <c:v>8.3666666666666671</c:v>
                </c:pt>
                <c:pt idx="2">
                  <c:v>6.9722222222222241</c:v>
                </c:pt>
              </c:numCache>
            </c:numRef>
          </c:val>
          <c:extLst>
            <c:ext xmlns:c16="http://schemas.microsoft.com/office/drawing/2014/chart" uri="{C3380CC4-5D6E-409C-BE32-E72D297353CC}">
              <c16:uniqueId val="{00000001-CB3B-9E40-9C3D-8A7F59D6D186}"/>
            </c:ext>
          </c:extLst>
        </c:ser>
        <c:ser>
          <c:idx val="2"/>
          <c:order val="2"/>
          <c:tx>
            <c:strRef>
              <c:f>Traffic!$D$1</c:f>
              <c:strCache>
                <c:ptCount val="1"/>
                <c:pt idx="0">
                  <c:v>Bacterivores</c:v>
                </c:pt>
              </c:strCache>
            </c:strRef>
          </c:tx>
          <c:spPr>
            <a:solidFill>
              <a:schemeClr val="accent3"/>
            </a:solidFill>
            <a:ln>
              <a:noFill/>
            </a:ln>
            <a:effectLst/>
          </c:spPr>
          <c:invertIfNegative val="0"/>
          <c:cat>
            <c:strRef>
              <c:f>Traffic!$A$2:$A$4</c:f>
              <c:strCache>
                <c:ptCount val="3"/>
                <c:pt idx="0">
                  <c:v>CTF </c:v>
                </c:pt>
                <c:pt idx="1">
                  <c:v>LGP </c:v>
                </c:pt>
                <c:pt idx="2">
                  <c:v>RTF </c:v>
                </c:pt>
              </c:strCache>
            </c:strRef>
          </c:cat>
          <c:val>
            <c:numRef>
              <c:f>Traffic!$D$2:$D$4</c:f>
              <c:numCache>
                <c:formatCode>General</c:formatCode>
                <c:ptCount val="3"/>
                <c:pt idx="0">
                  <c:v>45.061111111111124</c:v>
                </c:pt>
                <c:pt idx="1">
                  <c:v>44.391666666666673</c:v>
                </c:pt>
                <c:pt idx="2">
                  <c:v>45.488888888888894</c:v>
                </c:pt>
              </c:numCache>
            </c:numRef>
          </c:val>
          <c:extLst>
            <c:ext xmlns:c16="http://schemas.microsoft.com/office/drawing/2014/chart" uri="{C3380CC4-5D6E-409C-BE32-E72D297353CC}">
              <c16:uniqueId val="{00000002-CB3B-9E40-9C3D-8A7F59D6D186}"/>
            </c:ext>
          </c:extLst>
        </c:ser>
        <c:ser>
          <c:idx val="3"/>
          <c:order val="3"/>
          <c:tx>
            <c:strRef>
              <c:f>Traffic!$E$1</c:f>
              <c:strCache>
                <c:ptCount val="1"/>
                <c:pt idx="0">
                  <c:v>Predators</c:v>
                </c:pt>
              </c:strCache>
            </c:strRef>
          </c:tx>
          <c:spPr>
            <a:solidFill>
              <a:schemeClr val="accent4"/>
            </a:solidFill>
            <a:ln>
              <a:noFill/>
            </a:ln>
            <a:effectLst/>
          </c:spPr>
          <c:invertIfNegative val="0"/>
          <c:cat>
            <c:strRef>
              <c:f>Traffic!$A$2:$A$4</c:f>
              <c:strCache>
                <c:ptCount val="3"/>
                <c:pt idx="0">
                  <c:v>CTF </c:v>
                </c:pt>
                <c:pt idx="1">
                  <c:v>LGP </c:v>
                </c:pt>
                <c:pt idx="2">
                  <c:v>RTF </c:v>
                </c:pt>
              </c:strCache>
            </c:strRef>
          </c:cat>
          <c:val>
            <c:numRef>
              <c:f>Traffic!$E$2:$E$4</c:f>
              <c:numCache>
                <c:formatCode>General</c:formatCode>
                <c:ptCount val="3"/>
                <c:pt idx="0">
                  <c:v>1.9638888888888886</c:v>
                </c:pt>
                <c:pt idx="1">
                  <c:v>1.0166666666666666</c:v>
                </c:pt>
                <c:pt idx="2">
                  <c:v>0.79722222222222228</c:v>
                </c:pt>
              </c:numCache>
            </c:numRef>
          </c:val>
          <c:extLst>
            <c:ext xmlns:c16="http://schemas.microsoft.com/office/drawing/2014/chart" uri="{C3380CC4-5D6E-409C-BE32-E72D297353CC}">
              <c16:uniqueId val="{00000003-CB3B-9E40-9C3D-8A7F59D6D186}"/>
            </c:ext>
          </c:extLst>
        </c:ser>
        <c:ser>
          <c:idx val="4"/>
          <c:order val="4"/>
          <c:tx>
            <c:strRef>
              <c:f>Traffic!$F$1</c:f>
              <c:strCache>
                <c:ptCount val="1"/>
                <c:pt idx="0">
                  <c:v>Omnivores</c:v>
                </c:pt>
              </c:strCache>
            </c:strRef>
          </c:tx>
          <c:spPr>
            <a:solidFill>
              <a:schemeClr val="accent5"/>
            </a:solidFill>
            <a:ln>
              <a:noFill/>
            </a:ln>
            <a:effectLst/>
          </c:spPr>
          <c:invertIfNegative val="0"/>
          <c:cat>
            <c:strRef>
              <c:f>Traffic!$A$2:$A$4</c:f>
              <c:strCache>
                <c:ptCount val="3"/>
                <c:pt idx="0">
                  <c:v>CTF </c:v>
                </c:pt>
                <c:pt idx="1">
                  <c:v>LGP </c:v>
                </c:pt>
                <c:pt idx="2">
                  <c:v>RTF </c:v>
                </c:pt>
              </c:strCache>
            </c:strRef>
          </c:cat>
          <c:val>
            <c:numRef>
              <c:f>Traffic!$F$2:$F$4</c:f>
              <c:numCache>
                <c:formatCode>General</c:formatCode>
                <c:ptCount val="3"/>
                <c:pt idx="0">
                  <c:v>1.7944444444444447</c:v>
                </c:pt>
                <c:pt idx="1">
                  <c:v>2.0777777777777775</c:v>
                </c:pt>
                <c:pt idx="2">
                  <c:v>1.6000000000000003</c:v>
                </c:pt>
              </c:numCache>
            </c:numRef>
          </c:val>
          <c:extLst>
            <c:ext xmlns:c16="http://schemas.microsoft.com/office/drawing/2014/chart" uri="{C3380CC4-5D6E-409C-BE32-E72D297353CC}">
              <c16:uniqueId val="{00000004-CB3B-9E40-9C3D-8A7F59D6D186}"/>
            </c:ext>
          </c:extLst>
        </c:ser>
        <c:dLbls>
          <c:showLegendKey val="0"/>
          <c:showVal val="0"/>
          <c:showCatName val="0"/>
          <c:showSerName val="0"/>
          <c:showPercent val="0"/>
          <c:showBubbleSize val="0"/>
        </c:dLbls>
        <c:gapWidth val="150"/>
        <c:overlap val="100"/>
        <c:axId val="314031904"/>
        <c:axId val="313904064"/>
      </c:barChart>
      <c:catAx>
        <c:axId val="31403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313904064"/>
        <c:crosses val="autoZero"/>
        <c:auto val="1"/>
        <c:lblAlgn val="ctr"/>
        <c:lblOffset val="100"/>
        <c:noMultiLvlLbl val="0"/>
      </c:catAx>
      <c:valAx>
        <c:axId val="31390406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Book Antiqua" panose="02040602050305030304" pitchFamily="18" charset="0"/>
                  </a:rPr>
                  <a:t>read 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314031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Book Antiqua" panose="02040602050305030304" pitchFamily="18" charset="0"/>
                <a:ea typeface="+mn-ea"/>
                <a:cs typeface="+mn-cs"/>
              </a:defRPr>
            </a:pPr>
            <a:r>
              <a:rPr lang="en-US" baseline="0">
                <a:latin typeface="Book Antiqua" panose="02040602050305030304" pitchFamily="18" charset="0"/>
              </a:rPr>
              <a:t> </a:t>
            </a:r>
            <a:r>
              <a:rPr lang="en-US">
                <a:latin typeface="Book Antiqua" panose="02040602050305030304" pitchFamily="18" charset="0"/>
              </a:rPr>
              <a:t>                 MTB</a:t>
            </a:r>
            <a:r>
              <a:rPr lang="en-US" baseline="0">
                <a:latin typeface="Book Antiqua" panose="02040602050305030304" pitchFamily="18" charset="0"/>
              </a:rPr>
              <a:t> Traffic</a:t>
            </a:r>
            <a:endParaRPr lang="en-US">
              <a:latin typeface="Book Antiqua" panose="02040602050305030304" pitchFamily="18" charset="0"/>
            </a:endParaRPr>
          </a:p>
        </c:rich>
      </c:tx>
      <c:layout>
        <c:manualLayout>
          <c:xMode val="edge"/>
          <c:yMode val="edge"/>
          <c:x val="3.8511901572031257E-2"/>
          <c:y val="2.276176024279210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Book Antiqua" panose="02040602050305030304" pitchFamily="18" charset="0"/>
              <a:ea typeface="+mn-ea"/>
              <a:cs typeface="+mn-cs"/>
            </a:defRPr>
          </a:pPr>
          <a:endParaRPr lang="en-US"/>
        </a:p>
      </c:txPr>
    </c:title>
    <c:autoTitleDeleted val="0"/>
    <c:plotArea>
      <c:layout/>
      <c:barChart>
        <c:barDir val="col"/>
        <c:grouping val="percentStacked"/>
        <c:varyColors val="0"/>
        <c:ser>
          <c:idx val="0"/>
          <c:order val="0"/>
          <c:tx>
            <c:strRef>
              <c:f>Traffic!$B$1</c:f>
              <c:strCache>
                <c:ptCount val="1"/>
                <c:pt idx="0">
                  <c:v>Herbivores</c:v>
                </c:pt>
              </c:strCache>
            </c:strRef>
          </c:tx>
          <c:spPr>
            <a:solidFill>
              <a:schemeClr val="accent1"/>
            </a:solidFill>
            <a:ln>
              <a:noFill/>
            </a:ln>
            <a:effectLst/>
          </c:spPr>
          <c:invertIfNegative val="0"/>
          <c:cat>
            <c:strRef>
              <c:f>Traffic!$A$2:$A$4</c:f>
              <c:strCache>
                <c:ptCount val="3"/>
                <c:pt idx="0">
                  <c:v>CTF </c:v>
                </c:pt>
                <c:pt idx="1">
                  <c:v>LGP </c:v>
                </c:pt>
                <c:pt idx="2">
                  <c:v>RTF </c:v>
                </c:pt>
              </c:strCache>
            </c:strRef>
          </c:cat>
          <c:val>
            <c:numRef>
              <c:f>Traffic!$B$2:$B$4</c:f>
              <c:numCache>
                <c:formatCode>General</c:formatCode>
                <c:ptCount val="3"/>
                <c:pt idx="0">
                  <c:v>58.711111111111123</c:v>
                </c:pt>
                <c:pt idx="1">
                  <c:v>59.061111111111117</c:v>
                </c:pt>
                <c:pt idx="2">
                  <c:v>61.586111111111109</c:v>
                </c:pt>
              </c:numCache>
            </c:numRef>
          </c:val>
          <c:extLst>
            <c:ext xmlns:c16="http://schemas.microsoft.com/office/drawing/2014/chart" uri="{C3380CC4-5D6E-409C-BE32-E72D297353CC}">
              <c16:uniqueId val="{00000000-8BA1-2A4A-B953-F6FDF7C6AC45}"/>
            </c:ext>
          </c:extLst>
        </c:ser>
        <c:ser>
          <c:idx val="1"/>
          <c:order val="1"/>
          <c:tx>
            <c:strRef>
              <c:f>Traffic!$C$1</c:f>
              <c:strCache>
                <c:ptCount val="1"/>
                <c:pt idx="0">
                  <c:v>Fungivores</c:v>
                </c:pt>
              </c:strCache>
            </c:strRef>
          </c:tx>
          <c:spPr>
            <a:solidFill>
              <a:schemeClr val="accent2"/>
            </a:solidFill>
            <a:ln>
              <a:noFill/>
            </a:ln>
            <a:effectLst/>
          </c:spPr>
          <c:invertIfNegative val="0"/>
          <c:cat>
            <c:strRef>
              <c:f>Traffic!$A$2:$A$4</c:f>
              <c:strCache>
                <c:ptCount val="3"/>
                <c:pt idx="0">
                  <c:v>CTF </c:v>
                </c:pt>
                <c:pt idx="1">
                  <c:v>LGP </c:v>
                </c:pt>
                <c:pt idx="2">
                  <c:v>RTF </c:v>
                </c:pt>
              </c:strCache>
            </c:strRef>
          </c:cat>
          <c:val>
            <c:numRef>
              <c:f>Traffic!$C$2:$C$4</c:f>
              <c:numCache>
                <c:formatCode>General</c:formatCode>
                <c:ptCount val="3"/>
                <c:pt idx="0">
                  <c:v>8.7555555555555564</c:v>
                </c:pt>
                <c:pt idx="1">
                  <c:v>9.9805555555555578</c:v>
                </c:pt>
                <c:pt idx="2">
                  <c:v>8.4194444444444443</c:v>
                </c:pt>
              </c:numCache>
            </c:numRef>
          </c:val>
          <c:extLst>
            <c:ext xmlns:c16="http://schemas.microsoft.com/office/drawing/2014/chart" uri="{C3380CC4-5D6E-409C-BE32-E72D297353CC}">
              <c16:uniqueId val="{00000001-8BA1-2A4A-B953-F6FDF7C6AC45}"/>
            </c:ext>
          </c:extLst>
        </c:ser>
        <c:ser>
          <c:idx val="2"/>
          <c:order val="2"/>
          <c:tx>
            <c:strRef>
              <c:f>Traffic!$D$1</c:f>
              <c:strCache>
                <c:ptCount val="1"/>
                <c:pt idx="0">
                  <c:v>Bacterivores</c:v>
                </c:pt>
              </c:strCache>
            </c:strRef>
          </c:tx>
          <c:spPr>
            <a:solidFill>
              <a:schemeClr val="accent3"/>
            </a:solidFill>
            <a:ln>
              <a:noFill/>
            </a:ln>
            <a:effectLst/>
          </c:spPr>
          <c:invertIfNegative val="0"/>
          <c:cat>
            <c:strRef>
              <c:f>Traffic!$A$2:$A$4</c:f>
              <c:strCache>
                <c:ptCount val="3"/>
                <c:pt idx="0">
                  <c:v>CTF </c:v>
                </c:pt>
                <c:pt idx="1">
                  <c:v>LGP </c:v>
                </c:pt>
                <c:pt idx="2">
                  <c:v>RTF </c:v>
                </c:pt>
              </c:strCache>
            </c:strRef>
          </c:cat>
          <c:val>
            <c:numRef>
              <c:f>Traffic!$D$2:$D$4</c:f>
              <c:numCache>
                <c:formatCode>General</c:formatCode>
                <c:ptCount val="3"/>
                <c:pt idx="0">
                  <c:v>32.416666666666671</c:v>
                </c:pt>
                <c:pt idx="1">
                  <c:v>30.961111111111123</c:v>
                </c:pt>
                <c:pt idx="2">
                  <c:v>29.997222222222224</c:v>
                </c:pt>
              </c:numCache>
            </c:numRef>
          </c:val>
          <c:extLst>
            <c:ext xmlns:c16="http://schemas.microsoft.com/office/drawing/2014/chart" uri="{C3380CC4-5D6E-409C-BE32-E72D297353CC}">
              <c16:uniqueId val="{00000002-8BA1-2A4A-B953-F6FDF7C6AC45}"/>
            </c:ext>
          </c:extLst>
        </c:ser>
        <c:ser>
          <c:idx val="3"/>
          <c:order val="3"/>
          <c:tx>
            <c:strRef>
              <c:f>Traffic!$E$1</c:f>
              <c:strCache>
                <c:ptCount val="1"/>
                <c:pt idx="0">
                  <c:v>Predators</c:v>
                </c:pt>
              </c:strCache>
            </c:strRef>
          </c:tx>
          <c:spPr>
            <a:solidFill>
              <a:schemeClr val="accent4"/>
            </a:solidFill>
            <a:ln>
              <a:noFill/>
            </a:ln>
            <a:effectLst/>
          </c:spPr>
          <c:invertIfNegative val="0"/>
          <c:cat>
            <c:strRef>
              <c:f>Traffic!$A$2:$A$4</c:f>
              <c:strCache>
                <c:ptCount val="3"/>
                <c:pt idx="0">
                  <c:v>CTF </c:v>
                </c:pt>
                <c:pt idx="1">
                  <c:v>LGP </c:v>
                </c:pt>
                <c:pt idx="2">
                  <c:v>RTF </c:v>
                </c:pt>
              </c:strCache>
            </c:strRef>
          </c:cat>
          <c:val>
            <c:numRef>
              <c:f>Traffic!$E$2:$E$4</c:f>
              <c:numCache>
                <c:formatCode>General</c:formatCode>
                <c:ptCount val="3"/>
                <c:pt idx="0">
                  <c:v>0.10833333333333334</c:v>
                </c:pt>
                <c:pt idx="1">
                  <c:v>0</c:v>
                </c:pt>
                <c:pt idx="2">
                  <c:v>0</c:v>
                </c:pt>
              </c:numCache>
            </c:numRef>
          </c:val>
          <c:extLst>
            <c:ext xmlns:c16="http://schemas.microsoft.com/office/drawing/2014/chart" uri="{C3380CC4-5D6E-409C-BE32-E72D297353CC}">
              <c16:uniqueId val="{00000003-8BA1-2A4A-B953-F6FDF7C6AC45}"/>
            </c:ext>
          </c:extLst>
        </c:ser>
        <c:ser>
          <c:idx val="4"/>
          <c:order val="4"/>
          <c:tx>
            <c:strRef>
              <c:f>Traffic!$F$1</c:f>
              <c:strCache>
                <c:ptCount val="1"/>
                <c:pt idx="0">
                  <c:v>Omnivores</c:v>
                </c:pt>
              </c:strCache>
            </c:strRef>
          </c:tx>
          <c:spPr>
            <a:solidFill>
              <a:schemeClr val="accent5"/>
            </a:solidFill>
            <a:ln>
              <a:noFill/>
            </a:ln>
            <a:effectLst/>
          </c:spPr>
          <c:invertIfNegative val="0"/>
          <c:cat>
            <c:strRef>
              <c:f>Traffic!$A$2:$A$4</c:f>
              <c:strCache>
                <c:ptCount val="3"/>
                <c:pt idx="0">
                  <c:v>CTF </c:v>
                </c:pt>
                <c:pt idx="1">
                  <c:v>LGP </c:v>
                </c:pt>
                <c:pt idx="2">
                  <c:v>RTF </c:v>
                </c:pt>
              </c:strCache>
            </c:strRef>
          </c:cat>
          <c:val>
            <c:numRef>
              <c:f>Traffic!$F$2:$F$4</c:f>
              <c:numCache>
                <c:formatCode>General</c:formatCode>
                <c:ptCount val="3"/>
                <c:pt idx="0">
                  <c:v>2.7777777777777779E-3</c:v>
                </c:pt>
                <c:pt idx="1">
                  <c:v>2.7777777777777779E-3</c:v>
                </c:pt>
                <c:pt idx="2">
                  <c:v>0</c:v>
                </c:pt>
              </c:numCache>
            </c:numRef>
          </c:val>
          <c:extLst>
            <c:ext xmlns:c16="http://schemas.microsoft.com/office/drawing/2014/chart" uri="{C3380CC4-5D6E-409C-BE32-E72D297353CC}">
              <c16:uniqueId val="{00000004-8BA1-2A4A-B953-F6FDF7C6AC45}"/>
            </c:ext>
          </c:extLst>
        </c:ser>
        <c:dLbls>
          <c:showLegendKey val="0"/>
          <c:showVal val="0"/>
          <c:showCatName val="0"/>
          <c:showSerName val="0"/>
          <c:showPercent val="0"/>
          <c:showBubbleSize val="0"/>
        </c:dLbls>
        <c:gapWidth val="150"/>
        <c:overlap val="100"/>
        <c:axId val="217786816"/>
        <c:axId val="217671168"/>
      </c:barChart>
      <c:catAx>
        <c:axId val="21778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217671168"/>
        <c:crosses val="autoZero"/>
        <c:auto val="1"/>
        <c:lblAlgn val="ctr"/>
        <c:lblOffset val="100"/>
        <c:noMultiLvlLbl val="0"/>
      </c:catAx>
      <c:valAx>
        <c:axId val="2176711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Book Antiqua" panose="02040602050305030304" pitchFamily="18" charset="0"/>
                  </a:rPr>
                  <a:t>read</a:t>
                </a:r>
                <a:r>
                  <a:rPr lang="en-US" baseline="0">
                    <a:latin typeface="Book Antiqua" panose="02040602050305030304" pitchFamily="18" charset="0"/>
                  </a:rPr>
                  <a:t> frequency</a:t>
                </a:r>
                <a:endParaRPr lang="en-US">
                  <a:latin typeface="Book Antiqua" panose="0204060205030503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21778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Book Antiqua" panose="02040602050305030304" pitchFamily="18" charset="0"/>
              </a:rPr>
              <a:t> </a:t>
            </a:r>
            <a:r>
              <a:rPr lang="en-US">
                <a:latin typeface="Book Antiqua" panose="02040602050305030304" pitchFamily="18" charset="0"/>
              </a:rPr>
              <a:t>                STD Tillage</a:t>
            </a:r>
          </a:p>
        </c:rich>
      </c:tx>
      <c:layout>
        <c:manualLayout>
          <c:xMode val="edge"/>
          <c:yMode val="edge"/>
          <c:x val="3.8875943135599007E-2"/>
          <c:y val="2.27574435805044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Tillage!$B$1</c:f>
              <c:strCache>
                <c:ptCount val="1"/>
                <c:pt idx="0">
                  <c:v>Herbivores</c:v>
                </c:pt>
              </c:strCache>
            </c:strRef>
          </c:tx>
          <c:spPr>
            <a:solidFill>
              <a:schemeClr val="accent1"/>
            </a:solidFill>
            <a:ln>
              <a:noFill/>
            </a:ln>
            <a:effectLst/>
          </c:spPr>
          <c:invertIfNegative val="0"/>
          <c:cat>
            <c:strRef>
              <c:f>Tillage!$A$2:$A$4</c:f>
              <c:strCache>
                <c:ptCount val="3"/>
                <c:pt idx="0">
                  <c:v>Deep </c:v>
                </c:pt>
                <c:pt idx="1">
                  <c:v>Shallow </c:v>
                </c:pt>
                <c:pt idx="2">
                  <c:v>Zero </c:v>
                </c:pt>
              </c:strCache>
            </c:strRef>
          </c:cat>
          <c:val>
            <c:numRef>
              <c:f>Tillage!$B$2:$B$4</c:f>
              <c:numCache>
                <c:formatCode>General</c:formatCode>
                <c:ptCount val="3"/>
                <c:pt idx="0">
                  <c:v>38.588888888888881</c:v>
                </c:pt>
                <c:pt idx="1">
                  <c:v>39.63333333333334</c:v>
                </c:pt>
                <c:pt idx="2">
                  <c:v>53.733333333333334</c:v>
                </c:pt>
              </c:numCache>
            </c:numRef>
          </c:val>
          <c:extLst>
            <c:ext xmlns:c16="http://schemas.microsoft.com/office/drawing/2014/chart" uri="{C3380CC4-5D6E-409C-BE32-E72D297353CC}">
              <c16:uniqueId val="{00000000-3ADF-B842-8BBE-417968B2060D}"/>
            </c:ext>
          </c:extLst>
        </c:ser>
        <c:ser>
          <c:idx val="1"/>
          <c:order val="1"/>
          <c:tx>
            <c:strRef>
              <c:f>Tillage!$C$1</c:f>
              <c:strCache>
                <c:ptCount val="1"/>
                <c:pt idx="0">
                  <c:v>Fungivores</c:v>
                </c:pt>
              </c:strCache>
            </c:strRef>
          </c:tx>
          <c:spPr>
            <a:solidFill>
              <a:schemeClr val="accent2"/>
            </a:solidFill>
            <a:ln>
              <a:noFill/>
            </a:ln>
            <a:effectLst/>
          </c:spPr>
          <c:invertIfNegative val="0"/>
          <c:cat>
            <c:strRef>
              <c:f>Tillage!$A$2:$A$4</c:f>
              <c:strCache>
                <c:ptCount val="3"/>
                <c:pt idx="0">
                  <c:v>Deep </c:v>
                </c:pt>
                <c:pt idx="1">
                  <c:v>Shallow </c:v>
                </c:pt>
                <c:pt idx="2">
                  <c:v>Zero </c:v>
                </c:pt>
              </c:strCache>
            </c:strRef>
          </c:cat>
          <c:val>
            <c:numRef>
              <c:f>Tillage!$C$2:$C$4</c:f>
              <c:numCache>
                <c:formatCode>General</c:formatCode>
                <c:ptCount val="3"/>
                <c:pt idx="0">
                  <c:v>8.7388888888888907</c:v>
                </c:pt>
                <c:pt idx="1">
                  <c:v>9.35</c:v>
                </c:pt>
                <c:pt idx="2">
                  <c:v>5.7277777777777779</c:v>
                </c:pt>
              </c:numCache>
            </c:numRef>
          </c:val>
          <c:extLst>
            <c:ext xmlns:c16="http://schemas.microsoft.com/office/drawing/2014/chart" uri="{C3380CC4-5D6E-409C-BE32-E72D297353CC}">
              <c16:uniqueId val="{00000001-3ADF-B842-8BBE-417968B2060D}"/>
            </c:ext>
          </c:extLst>
        </c:ser>
        <c:ser>
          <c:idx val="2"/>
          <c:order val="2"/>
          <c:tx>
            <c:strRef>
              <c:f>Tillage!$D$1</c:f>
              <c:strCache>
                <c:ptCount val="1"/>
                <c:pt idx="0">
                  <c:v>Bacterivores</c:v>
                </c:pt>
              </c:strCache>
            </c:strRef>
          </c:tx>
          <c:spPr>
            <a:solidFill>
              <a:schemeClr val="accent3"/>
            </a:solidFill>
            <a:ln>
              <a:noFill/>
            </a:ln>
            <a:effectLst/>
          </c:spPr>
          <c:invertIfNegative val="0"/>
          <c:cat>
            <c:strRef>
              <c:f>Tillage!$A$2:$A$4</c:f>
              <c:strCache>
                <c:ptCount val="3"/>
                <c:pt idx="0">
                  <c:v>Deep </c:v>
                </c:pt>
                <c:pt idx="1">
                  <c:v>Shallow </c:v>
                </c:pt>
                <c:pt idx="2">
                  <c:v>Zero </c:v>
                </c:pt>
              </c:strCache>
            </c:strRef>
          </c:cat>
          <c:val>
            <c:numRef>
              <c:f>Tillage!$D$2:$D$4</c:f>
              <c:numCache>
                <c:formatCode>General</c:formatCode>
                <c:ptCount val="3"/>
                <c:pt idx="0">
                  <c:v>49.169444444444444</c:v>
                </c:pt>
                <c:pt idx="1">
                  <c:v>47.608333333333341</c:v>
                </c:pt>
                <c:pt idx="2">
                  <c:v>38.163888888888891</c:v>
                </c:pt>
              </c:numCache>
            </c:numRef>
          </c:val>
          <c:extLst>
            <c:ext xmlns:c16="http://schemas.microsoft.com/office/drawing/2014/chart" uri="{C3380CC4-5D6E-409C-BE32-E72D297353CC}">
              <c16:uniqueId val="{00000002-3ADF-B842-8BBE-417968B2060D}"/>
            </c:ext>
          </c:extLst>
        </c:ser>
        <c:ser>
          <c:idx val="3"/>
          <c:order val="3"/>
          <c:tx>
            <c:strRef>
              <c:f>Tillage!$E$1</c:f>
              <c:strCache>
                <c:ptCount val="1"/>
                <c:pt idx="0">
                  <c:v>Predators</c:v>
                </c:pt>
              </c:strCache>
            </c:strRef>
          </c:tx>
          <c:spPr>
            <a:solidFill>
              <a:schemeClr val="accent4"/>
            </a:solidFill>
            <a:ln>
              <a:noFill/>
            </a:ln>
            <a:effectLst/>
          </c:spPr>
          <c:invertIfNegative val="0"/>
          <c:cat>
            <c:strRef>
              <c:f>Tillage!$A$2:$A$4</c:f>
              <c:strCache>
                <c:ptCount val="3"/>
                <c:pt idx="0">
                  <c:v>Deep </c:v>
                </c:pt>
                <c:pt idx="1">
                  <c:v>Shallow </c:v>
                </c:pt>
                <c:pt idx="2">
                  <c:v>Zero </c:v>
                </c:pt>
              </c:strCache>
            </c:strRef>
          </c:cat>
          <c:val>
            <c:numRef>
              <c:f>Tillage!$E$2:$E$4</c:f>
              <c:numCache>
                <c:formatCode>General</c:formatCode>
                <c:ptCount val="3"/>
                <c:pt idx="0">
                  <c:v>1.325</c:v>
                </c:pt>
                <c:pt idx="1">
                  <c:v>1.4416666666666664</c:v>
                </c:pt>
                <c:pt idx="2">
                  <c:v>1.0111111111111111</c:v>
                </c:pt>
              </c:numCache>
            </c:numRef>
          </c:val>
          <c:extLst>
            <c:ext xmlns:c16="http://schemas.microsoft.com/office/drawing/2014/chart" uri="{C3380CC4-5D6E-409C-BE32-E72D297353CC}">
              <c16:uniqueId val="{00000003-3ADF-B842-8BBE-417968B2060D}"/>
            </c:ext>
          </c:extLst>
        </c:ser>
        <c:ser>
          <c:idx val="4"/>
          <c:order val="4"/>
          <c:tx>
            <c:strRef>
              <c:f>Tillage!$F$1</c:f>
              <c:strCache>
                <c:ptCount val="1"/>
                <c:pt idx="0">
                  <c:v>Omnivores</c:v>
                </c:pt>
              </c:strCache>
            </c:strRef>
          </c:tx>
          <c:spPr>
            <a:solidFill>
              <a:schemeClr val="accent5"/>
            </a:solidFill>
            <a:ln>
              <a:noFill/>
            </a:ln>
            <a:effectLst/>
          </c:spPr>
          <c:invertIfNegative val="0"/>
          <c:cat>
            <c:strRef>
              <c:f>Tillage!$A$2:$A$4</c:f>
              <c:strCache>
                <c:ptCount val="3"/>
                <c:pt idx="0">
                  <c:v>Deep </c:v>
                </c:pt>
                <c:pt idx="1">
                  <c:v>Shallow </c:v>
                </c:pt>
                <c:pt idx="2">
                  <c:v>Zero </c:v>
                </c:pt>
              </c:strCache>
            </c:strRef>
          </c:cat>
          <c:val>
            <c:numRef>
              <c:f>Tillage!$F$2:$F$4</c:f>
              <c:numCache>
                <c:formatCode>General</c:formatCode>
                <c:ptCount val="3"/>
                <c:pt idx="0">
                  <c:v>2.1722222222222225</c:v>
                </c:pt>
                <c:pt idx="1">
                  <c:v>1.9527777777777777</c:v>
                </c:pt>
                <c:pt idx="2">
                  <c:v>1.3472222222222223</c:v>
                </c:pt>
              </c:numCache>
            </c:numRef>
          </c:val>
          <c:extLst>
            <c:ext xmlns:c16="http://schemas.microsoft.com/office/drawing/2014/chart" uri="{C3380CC4-5D6E-409C-BE32-E72D297353CC}">
              <c16:uniqueId val="{00000004-3ADF-B842-8BBE-417968B2060D}"/>
            </c:ext>
          </c:extLst>
        </c:ser>
        <c:dLbls>
          <c:showLegendKey val="0"/>
          <c:showVal val="0"/>
          <c:showCatName val="0"/>
          <c:showSerName val="0"/>
          <c:showPercent val="0"/>
          <c:showBubbleSize val="0"/>
        </c:dLbls>
        <c:gapWidth val="150"/>
        <c:overlap val="100"/>
        <c:axId val="317337088"/>
        <c:axId val="317338784"/>
      </c:barChart>
      <c:catAx>
        <c:axId val="31733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317338784"/>
        <c:crosses val="autoZero"/>
        <c:auto val="1"/>
        <c:lblAlgn val="ctr"/>
        <c:lblOffset val="100"/>
        <c:noMultiLvlLbl val="0"/>
      </c:catAx>
      <c:valAx>
        <c:axId val="317338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Book Antiqua" panose="02040602050305030304" pitchFamily="18" charset="0"/>
                  </a:rPr>
                  <a:t>Read 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31733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Book Antiqua" panose="02040602050305030304" pitchFamily="18" charset="0"/>
              </a:rPr>
              <a:t>                 MTB Tillage</a:t>
            </a:r>
          </a:p>
        </c:rich>
      </c:tx>
      <c:layout>
        <c:manualLayout>
          <c:xMode val="edge"/>
          <c:yMode val="edge"/>
          <c:x val="2.9452995212021878E-2"/>
          <c:y val="2.272296913463359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Tillage!$B$1</c:f>
              <c:strCache>
                <c:ptCount val="1"/>
                <c:pt idx="0">
                  <c:v>Herbivores</c:v>
                </c:pt>
              </c:strCache>
            </c:strRef>
          </c:tx>
          <c:spPr>
            <a:solidFill>
              <a:schemeClr val="accent1"/>
            </a:solidFill>
            <a:ln>
              <a:noFill/>
            </a:ln>
            <a:effectLst/>
          </c:spPr>
          <c:invertIfNegative val="0"/>
          <c:cat>
            <c:strRef>
              <c:f>Tillage!$A$2:$A$4</c:f>
              <c:strCache>
                <c:ptCount val="3"/>
                <c:pt idx="0">
                  <c:v>Deep </c:v>
                </c:pt>
                <c:pt idx="1">
                  <c:v>Shallow </c:v>
                </c:pt>
                <c:pt idx="2">
                  <c:v>Zero </c:v>
                </c:pt>
              </c:strCache>
            </c:strRef>
          </c:cat>
          <c:val>
            <c:numRef>
              <c:f>Tillage!$B$2:$B$4</c:f>
              <c:numCache>
                <c:formatCode>General</c:formatCode>
                <c:ptCount val="3"/>
                <c:pt idx="0">
                  <c:v>54.550000000000004</c:v>
                </c:pt>
                <c:pt idx="1">
                  <c:v>59.505555555555553</c:v>
                </c:pt>
                <c:pt idx="2">
                  <c:v>65.302777777777791</c:v>
                </c:pt>
              </c:numCache>
            </c:numRef>
          </c:val>
          <c:extLst>
            <c:ext xmlns:c16="http://schemas.microsoft.com/office/drawing/2014/chart" uri="{C3380CC4-5D6E-409C-BE32-E72D297353CC}">
              <c16:uniqueId val="{00000000-EF55-B04E-B2EF-DF3B417B56D8}"/>
            </c:ext>
          </c:extLst>
        </c:ser>
        <c:ser>
          <c:idx val="1"/>
          <c:order val="1"/>
          <c:tx>
            <c:strRef>
              <c:f>Tillage!$C$1</c:f>
              <c:strCache>
                <c:ptCount val="1"/>
                <c:pt idx="0">
                  <c:v>Fungivores</c:v>
                </c:pt>
              </c:strCache>
            </c:strRef>
          </c:tx>
          <c:spPr>
            <a:solidFill>
              <a:schemeClr val="accent2"/>
            </a:solidFill>
            <a:ln>
              <a:noFill/>
            </a:ln>
            <a:effectLst/>
          </c:spPr>
          <c:invertIfNegative val="0"/>
          <c:cat>
            <c:strRef>
              <c:f>Tillage!$A$2:$A$4</c:f>
              <c:strCache>
                <c:ptCount val="3"/>
                <c:pt idx="0">
                  <c:v>Deep </c:v>
                </c:pt>
                <c:pt idx="1">
                  <c:v>Shallow </c:v>
                </c:pt>
                <c:pt idx="2">
                  <c:v>Zero </c:v>
                </c:pt>
              </c:strCache>
            </c:strRef>
          </c:cat>
          <c:val>
            <c:numRef>
              <c:f>Tillage!$C$2:$C$4</c:f>
              <c:numCache>
                <c:formatCode>General</c:formatCode>
                <c:ptCount val="3"/>
                <c:pt idx="0">
                  <c:v>8.9138888888888896</c:v>
                </c:pt>
                <c:pt idx="1">
                  <c:v>9.3305555555555557</c:v>
                </c:pt>
                <c:pt idx="2">
                  <c:v>8.9111111111111114</c:v>
                </c:pt>
              </c:numCache>
            </c:numRef>
          </c:val>
          <c:extLst>
            <c:ext xmlns:c16="http://schemas.microsoft.com/office/drawing/2014/chart" uri="{C3380CC4-5D6E-409C-BE32-E72D297353CC}">
              <c16:uniqueId val="{00000001-EF55-B04E-B2EF-DF3B417B56D8}"/>
            </c:ext>
          </c:extLst>
        </c:ser>
        <c:ser>
          <c:idx val="2"/>
          <c:order val="2"/>
          <c:tx>
            <c:strRef>
              <c:f>Tillage!$D$1</c:f>
              <c:strCache>
                <c:ptCount val="1"/>
                <c:pt idx="0">
                  <c:v>Bacterivores</c:v>
                </c:pt>
              </c:strCache>
            </c:strRef>
          </c:tx>
          <c:spPr>
            <a:solidFill>
              <a:schemeClr val="accent3"/>
            </a:solidFill>
            <a:ln>
              <a:noFill/>
            </a:ln>
            <a:effectLst/>
          </c:spPr>
          <c:invertIfNegative val="0"/>
          <c:cat>
            <c:strRef>
              <c:f>Tillage!$A$2:$A$4</c:f>
              <c:strCache>
                <c:ptCount val="3"/>
                <c:pt idx="0">
                  <c:v>Deep </c:v>
                </c:pt>
                <c:pt idx="1">
                  <c:v>Shallow </c:v>
                </c:pt>
                <c:pt idx="2">
                  <c:v>Zero </c:v>
                </c:pt>
              </c:strCache>
            </c:strRef>
          </c:cat>
          <c:val>
            <c:numRef>
              <c:f>Tillage!$D$2:$D$4</c:f>
              <c:numCache>
                <c:formatCode>General</c:formatCode>
                <c:ptCount val="3"/>
                <c:pt idx="0">
                  <c:v>36.416666666666671</c:v>
                </c:pt>
                <c:pt idx="1">
                  <c:v>31.166666666666668</c:v>
                </c:pt>
                <c:pt idx="2">
                  <c:v>25.791666666666671</c:v>
                </c:pt>
              </c:numCache>
            </c:numRef>
          </c:val>
          <c:extLst>
            <c:ext xmlns:c16="http://schemas.microsoft.com/office/drawing/2014/chart" uri="{C3380CC4-5D6E-409C-BE32-E72D297353CC}">
              <c16:uniqueId val="{00000002-EF55-B04E-B2EF-DF3B417B56D8}"/>
            </c:ext>
          </c:extLst>
        </c:ser>
        <c:ser>
          <c:idx val="3"/>
          <c:order val="3"/>
          <c:tx>
            <c:strRef>
              <c:f>Tillage!$E$1</c:f>
              <c:strCache>
                <c:ptCount val="1"/>
                <c:pt idx="0">
                  <c:v>Predators</c:v>
                </c:pt>
              </c:strCache>
            </c:strRef>
          </c:tx>
          <c:spPr>
            <a:solidFill>
              <a:schemeClr val="accent4"/>
            </a:solidFill>
            <a:ln>
              <a:noFill/>
            </a:ln>
            <a:effectLst/>
          </c:spPr>
          <c:invertIfNegative val="0"/>
          <c:cat>
            <c:strRef>
              <c:f>Tillage!$A$2:$A$4</c:f>
              <c:strCache>
                <c:ptCount val="3"/>
                <c:pt idx="0">
                  <c:v>Deep </c:v>
                </c:pt>
                <c:pt idx="1">
                  <c:v>Shallow </c:v>
                </c:pt>
                <c:pt idx="2">
                  <c:v>Zero </c:v>
                </c:pt>
              </c:strCache>
            </c:strRef>
          </c:cat>
          <c:val>
            <c:numRef>
              <c:f>Tillage!$E$2:$E$4</c:f>
              <c:numCache>
                <c:formatCode>General</c:formatCode>
                <c:ptCount val="3"/>
                <c:pt idx="0">
                  <c:v>0.10833333333333334</c:v>
                </c:pt>
                <c:pt idx="1">
                  <c:v>0</c:v>
                </c:pt>
                <c:pt idx="2">
                  <c:v>0</c:v>
                </c:pt>
              </c:numCache>
            </c:numRef>
          </c:val>
          <c:extLst>
            <c:ext xmlns:c16="http://schemas.microsoft.com/office/drawing/2014/chart" uri="{C3380CC4-5D6E-409C-BE32-E72D297353CC}">
              <c16:uniqueId val="{00000003-EF55-B04E-B2EF-DF3B417B56D8}"/>
            </c:ext>
          </c:extLst>
        </c:ser>
        <c:ser>
          <c:idx val="4"/>
          <c:order val="4"/>
          <c:tx>
            <c:strRef>
              <c:f>Tillage!$F$1</c:f>
              <c:strCache>
                <c:ptCount val="1"/>
                <c:pt idx="0">
                  <c:v>Omnivores</c:v>
                </c:pt>
              </c:strCache>
            </c:strRef>
          </c:tx>
          <c:spPr>
            <a:solidFill>
              <a:schemeClr val="accent5"/>
            </a:solidFill>
            <a:ln>
              <a:noFill/>
            </a:ln>
            <a:effectLst/>
          </c:spPr>
          <c:invertIfNegative val="0"/>
          <c:cat>
            <c:strRef>
              <c:f>Tillage!$A$2:$A$4</c:f>
              <c:strCache>
                <c:ptCount val="3"/>
                <c:pt idx="0">
                  <c:v>Deep </c:v>
                </c:pt>
                <c:pt idx="1">
                  <c:v>Shallow </c:v>
                </c:pt>
                <c:pt idx="2">
                  <c:v>Zero </c:v>
                </c:pt>
              </c:strCache>
            </c:strRef>
          </c:cat>
          <c:val>
            <c:numRef>
              <c:f>Tillage!$F$2:$F$4</c:f>
              <c:numCache>
                <c:formatCode>General</c:formatCode>
                <c:ptCount val="3"/>
                <c:pt idx="0">
                  <c:v>0</c:v>
                </c:pt>
                <c:pt idx="1">
                  <c:v>2.7777777777777779E-3</c:v>
                </c:pt>
                <c:pt idx="2">
                  <c:v>2.7777777777777779E-3</c:v>
                </c:pt>
              </c:numCache>
            </c:numRef>
          </c:val>
          <c:extLst>
            <c:ext xmlns:c16="http://schemas.microsoft.com/office/drawing/2014/chart" uri="{C3380CC4-5D6E-409C-BE32-E72D297353CC}">
              <c16:uniqueId val="{00000004-EF55-B04E-B2EF-DF3B417B56D8}"/>
            </c:ext>
          </c:extLst>
        </c:ser>
        <c:dLbls>
          <c:showLegendKey val="0"/>
          <c:showVal val="0"/>
          <c:showCatName val="0"/>
          <c:showSerName val="0"/>
          <c:showPercent val="0"/>
          <c:showBubbleSize val="0"/>
        </c:dLbls>
        <c:gapWidth val="150"/>
        <c:overlap val="100"/>
        <c:axId val="217710176"/>
        <c:axId val="257053808"/>
      </c:barChart>
      <c:catAx>
        <c:axId val="21771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257053808"/>
        <c:crosses val="autoZero"/>
        <c:auto val="1"/>
        <c:lblAlgn val="ctr"/>
        <c:lblOffset val="100"/>
        <c:noMultiLvlLbl val="0"/>
      </c:catAx>
      <c:valAx>
        <c:axId val="257053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Book Antiqua" panose="02040602050305030304" pitchFamily="18" charset="0"/>
                  </a:rPr>
                  <a:t>read 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crossAx val="21771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Book Antiqua" panose="02040602050305030304" pitchFamily="18"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57C40-ABC3-FD4E-868F-61F6626C2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25</Pages>
  <Words>26603</Words>
  <Characters>147649</Characters>
  <Application>Microsoft Office Word</Application>
  <DocSecurity>0</DocSecurity>
  <Lines>4218</Lines>
  <Paragraphs>2292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Ahmed</dc:creator>
  <cp:keywords/>
  <dc:description/>
  <cp:lastModifiedBy>Mohammed Ahmed</cp:lastModifiedBy>
  <cp:revision>1</cp:revision>
  <dcterms:created xsi:type="dcterms:W3CDTF">2018-06-06T03:12:00Z</dcterms:created>
  <dcterms:modified xsi:type="dcterms:W3CDTF">2018-06-24T00:00:00Z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12682c86-8dd9-3ede-badf-08d9294bda23</vt:lpwstr>
  </property>
  <property fmtid="{D5CDD505-2E9C-101B-9397-08002B2CF9AE}" pid="4" name="Mendeley Citation Style_1">
    <vt:lpwstr>http://www.zotero.org/styles/zookeys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http://www.zotero.org/styles/applied-soil-ecology</vt:lpwstr>
  </property>
  <property fmtid="{D5CDD505-2E9C-101B-9397-08002B2CF9AE}" pid="10" name="Mendeley Recent Style Name 2_1">
    <vt:lpwstr>Applied Soil Ecology</vt:lpwstr>
  </property>
  <property fmtid="{D5CDD505-2E9C-101B-9397-08002B2CF9AE}" pid="11" name="Mendeley Recent Style Id 3_1">
    <vt:lpwstr>http://www.zotero.org/styles/elsevier-harvard</vt:lpwstr>
  </property>
  <property fmtid="{D5CDD505-2E9C-101B-9397-08002B2CF9AE}" pid="12" name="Mendeley Recent Style Name 3_1">
    <vt:lpwstr>Elsevier Harvard (with titles)</vt:lpwstr>
  </property>
  <property fmtid="{D5CDD505-2E9C-101B-9397-08002B2CF9AE}" pid="13" name="Mendeley Recent Style Id 4_1">
    <vt:lpwstr>http://www.zotero.org/styles/harvard-bournemouth-university</vt:lpwstr>
  </property>
  <property fmtid="{D5CDD505-2E9C-101B-9397-08002B2CF9AE}" pid="14" name="Mendeley Recent Style Name 4_1">
    <vt:lpwstr>Harvard - Bournemouth University</vt:lpwstr>
  </property>
  <property fmtid="{D5CDD505-2E9C-101B-9397-08002B2CF9AE}" pid="15" name="Mendeley Recent Style Id 5_1">
    <vt:lpwstr>http://www.zotero.org/styles/harvard-cite-them-right</vt:lpwstr>
  </property>
  <property fmtid="{D5CDD505-2E9C-101B-9397-08002B2CF9AE}" pid="16" name="Mendeley Recent Style Name 5_1">
    <vt:lpwstr>Harvard - Cite Them Right 9th edition</vt:lpwstr>
  </property>
  <property fmtid="{D5CDD505-2E9C-101B-9397-08002B2CF9AE}" pid="17" name="Mendeley Recent Style Id 6_1">
    <vt:lpwstr>http://www.zotero.org/styles/harvard-imperial-college-london</vt:lpwstr>
  </property>
  <property fmtid="{D5CDD505-2E9C-101B-9397-08002B2CF9AE}" pid="18" name="Mendeley Recent Style Name 6_1">
    <vt:lpwstr>Harvard - Imperial College London</vt:lpwstr>
  </property>
  <property fmtid="{D5CDD505-2E9C-101B-9397-08002B2CF9AE}" pid="19" name="Mendeley Recent Style Id 7_1">
    <vt:lpwstr>http://www.zotero.org/styles/harvard-oxford-brookes-university-faculty-of-health-and-life-sciences</vt:lpwstr>
  </property>
  <property fmtid="{D5CDD505-2E9C-101B-9397-08002B2CF9AE}" pid="20" name="Mendeley Recent Style Name 7_1">
    <vt:lpwstr>Harvard - Oxford Brookes University - Faculty of Health and Life Sciences</vt:lpwstr>
  </property>
  <property fmtid="{D5CDD505-2E9C-101B-9397-08002B2CF9AE}" pid="21" name="Mendeley Recent Style Id 8_1">
    <vt:lpwstr>http://www.zotero.org/styles/harvard-staffordshire-university</vt:lpwstr>
  </property>
  <property fmtid="{D5CDD505-2E9C-101B-9397-08002B2CF9AE}" pid="22" name="Mendeley Recent Style Name 8_1">
    <vt:lpwstr>Harvard - Staffordshire University</vt:lpwstr>
  </property>
  <property fmtid="{D5CDD505-2E9C-101B-9397-08002B2CF9AE}" pid="23" name="Mendeley Recent Style Id 9_1">
    <vt:lpwstr>http://www.zotero.org/styles/zookeys</vt:lpwstr>
  </property>
  <property fmtid="{D5CDD505-2E9C-101B-9397-08002B2CF9AE}" pid="24" name="Mendeley Recent Style Name 9_1">
    <vt:lpwstr>ZooKeys</vt:lpwstr>
  </property>
</Properties>
</file>