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b/>
          <w:bCs/>
          <w:sz w:val="34"/>
          <w:szCs w:val="34"/>
        </w:rPr>
        <w:t xml:space="preserve">Natural Language Processing Project Proposal</w:t>
      </w:r>
    </w:p>
    <w:p>
      <w:pPr>
        <w:spacing w:after="20"/>
      </w:pPr>
      <w:r>
        <w:rPr>
          <w:rFonts w:ascii="Times New Roman" w:cs="Times New Roman" w:eastAsia="Times New Roman" w:hAnsi="Times New Roman"/>
          <w:spacing w:val="10"/>
          <w:sz w:val="20"/>
          <w:szCs w:val="20"/>
        </w:rPr>
        <w:t xml:space="preserve">Academic year 2026–2027   First semester</w:t>
      </w:r>
    </w:p>
    <w:p>
      <w:pPr>
        <w:spacing w:after="100"/>
      </w:pPr>
      <w:r>
        <w:rPr>
          <w:rFonts w:ascii="Times New Roman" w:cs="Times New Roman" w:eastAsia="Times New Roman" w:hAnsi="Times New Roman"/>
          <w:sz w:val="20"/>
          <w:szCs w:val="20"/>
        </w:rPr>
        <w:t xml:space="preserve">Course </w:t>
      </w:r>
      <w:r>
        <w:rPr>
          <w:rFonts w:ascii="Times New Roman" w:cs="Times New Roman" w:eastAsia="Times New Roman" w:hAnsi="Times New Roman"/>
          <w:b/>
          <w:bCs/>
          <w:sz w:val="20"/>
          <w:szCs w:val="20"/>
        </w:rPr>
        <w:t xml:space="preserve">Natural Language Processing</w:t>
      </w:r>
      <w:r>
        <w:rPr>
          <w:rFonts w:ascii="Times New Roman" w:cs="Times New Roman" w:eastAsia="Times New Roman" w:hAnsi="Times New Roman"/>
          <w:sz w:val="20"/>
          <w:szCs w:val="20"/>
        </w:rPr>
        <w:t xml:space="preserve">   Section __________   Group number </w:t>
      </w:r>
      <w:r>
        <w:rPr>
          <w:rFonts w:ascii="Times New Roman" w:cs="Times New Roman" w:eastAsia="Times New Roman" w:hAnsi="Times New Roman"/>
          <w:b/>
          <w:bCs/>
          <w:sz w:val="20"/>
          <w:szCs w:val="20"/>
        </w:rPr>
        <w:t xml:space="preserve">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5180"/>
      </w:tblGrid>
      <w:tr>
        <w:tc>
          <w:tcPr>
            <w:tcW w:type="dxa" w:w="3500"/>
            <w:tcBorders>
              <w:top w:val="single" w:color="D9D9D9" w:sz="4"/>
              <w:left w:val="single" w:color="D9D9D9" w:sz="4"/>
              <w:bottom w:val="single" w:color="D9D9D9" w:sz="4"/>
              <w:right w:val="single" w:color="D9D9D9" w:sz="4"/>
            </w:tcBorders>
            <w:shd w:fill="9C1C1C" w:color="auto" w:val="clear"/>
            <w:tcMar>
              <w:top w:type="dxa" w:w="30"/>
              <w:left w:type="dxa" w:w="90"/>
              <w:bottom w:type="dxa" w:w="30"/>
              <w:right w:type="dxa" w:w="90"/>
            </w:tcMar>
          </w:tcPr>
          <w:p>
            <w:r>
              <w:rPr>
                <w:rFonts w:ascii="Times New Roman" w:cs="Times New Roman" w:eastAsia="Times New Roman" w:hAnsi="Times New Roman"/>
                <w:b/>
                <w:bCs/>
                <w:color w:val="FFFFFF"/>
                <w:sz w:val="20"/>
                <w:szCs w:val="20"/>
              </w:rPr>
              <w:t xml:space="preserve">Name</w:t>
            </w:r>
          </w:p>
        </w:tc>
        <w:tc>
          <w:tcPr>
            <w:tcW w:type="dxa" w:w="1400"/>
            <w:tcBorders>
              <w:top w:val="single" w:color="D9D9D9" w:sz="4"/>
              <w:left w:val="single" w:color="D9D9D9" w:sz="4"/>
              <w:bottom w:val="single" w:color="D9D9D9" w:sz="4"/>
              <w:right w:val="single" w:color="D9D9D9" w:sz="4"/>
            </w:tcBorders>
            <w:shd w:fill="9C1C1C" w:color="auto" w:val="clear"/>
            <w:tcMar>
              <w:top w:type="dxa" w:w="30"/>
              <w:left w:type="dxa" w:w="90"/>
              <w:bottom w:type="dxa" w:w="30"/>
              <w:right w:type="dxa" w:w="90"/>
            </w:tcMar>
          </w:tcPr>
          <w:p>
            <w:r>
              <w:rPr>
                <w:rFonts w:ascii="Times New Roman" w:cs="Times New Roman" w:eastAsia="Times New Roman" w:hAnsi="Times New Roman"/>
                <w:b/>
                <w:bCs/>
                <w:color w:val="FFFFFF"/>
                <w:sz w:val="20"/>
                <w:szCs w:val="20"/>
              </w:rPr>
              <w:t xml:space="preserve">Student ID</w:t>
            </w:r>
          </w:p>
        </w:tc>
        <w:tc>
          <w:tcPr>
            <w:tcW w:type="dxa" w:w="5180"/>
            <w:tcBorders>
              <w:top w:val="single" w:color="D9D9D9" w:sz="4"/>
              <w:left w:val="single" w:color="D9D9D9" w:sz="4"/>
              <w:bottom w:val="single" w:color="D9D9D9" w:sz="4"/>
              <w:right w:val="single" w:color="D9D9D9" w:sz="4"/>
            </w:tcBorders>
            <w:shd w:fill="9C1C1C" w:color="auto" w:val="clear"/>
            <w:tcMar>
              <w:top w:type="dxa" w:w="30"/>
              <w:left w:type="dxa" w:w="90"/>
              <w:bottom w:type="dxa" w:w="30"/>
              <w:right w:type="dxa" w:w="90"/>
            </w:tcMar>
          </w:tcPr>
          <w:p>
            <w:r>
              <w:rPr>
                <w:rFonts w:ascii="Times New Roman" w:cs="Times New Roman" w:eastAsia="Times New Roman" w:hAnsi="Times New Roman"/>
                <w:b/>
                <w:bCs/>
                <w:color w:val="FFFFFF"/>
                <w:sz w:val="20"/>
                <w:szCs w:val="20"/>
              </w:rPr>
              <w:t xml:space="preserve">Main responsibilities</w:t>
            </w:r>
          </w:p>
        </w:tc>
      </w:tr>
      <w:tr>
        <w:tc>
          <w:tcPr>
            <w:tcW w:type="dxa" w:w="3500"/>
            <w:tcBorders>
              <w:top w:val="single" w:color="D9D9D9" w:sz="4"/>
              <w:left w:val="single" w:color="D9D9D9" w:sz="4"/>
              <w:bottom w:val="single" w:color="D9D9D9" w:sz="4"/>
              <w:right w:val="single" w:color="D9D9D9" w:sz="4"/>
            </w:tcBorders>
            <w:tcMar>
              <w:top w:type="dxa" w:w="30"/>
              <w:left w:type="dxa" w:w="90"/>
              <w:bottom w:type="dxa" w:w="30"/>
              <w:right w:type="dxa" w:w="90"/>
            </w:tcMar>
          </w:tcPr>
          <w:p>
            <w:r>
              <w:rPr>
                <w:rFonts w:ascii="Times New Roman" w:cs="Times New Roman" w:eastAsia="Times New Roman" w:hAnsi="Times New Roman"/>
                <w:sz w:val="20"/>
                <w:szCs w:val="20"/>
              </w:rPr>
              <w:t xml:space="preserve">Sameer Almadani</w:t>
            </w:r>
          </w:p>
        </w:tc>
        <w:tc>
          <w:tcPr>
            <w:tcW w:type="dxa" w:w="1400"/>
            <w:tcBorders>
              <w:top w:val="single" w:color="D9D9D9" w:sz="4"/>
              <w:left w:val="single" w:color="D9D9D9" w:sz="4"/>
              <w:bottom w:val="single" w:color="D9D9D9" w:sz="4"/>
              <w:right w:val="single" w:color="D9D9D9" w:sz="4"/>
            </w:tcBorders>
            <w:tcMar>
              <w:top w:type="dxa" w:w="30"/>
              <w:left w:type="dxa" w:w="90"/>
              <w:bottom w:type="dxa" w:w="30"/>
              <w:right w:type="dxa" w:w="90"/>
            </w:tcMar>
          </w:tcPr>
          <w:p>
            <w:r>
              <w:rPr>
                <w:rFonts w:ascii="Times New Roman" w:cs="Times New Roman" w:eastAsia="Times New Roman" w:hAnsi="Times New Roman"/>
                <w:sz w:val="20"/>
                <w:szCs w:val="20"/>
              </w:rPr>
              <w:t xml:space="preserve">2230001818</w:t>
            </w:r>
          </w:p>
        </w:tc>
        <w:tc>
          <w:tcPr>
            <w:tcW w:type="dxa" w:w="5180"/>
            <w:tcBorders>
              <w:top w:val="single" w:color="D9D9D9" w:sz="4"/>
              <w:left w:val="single" w:color="D9D9D9" w:sz="4"/>
              <w:bottom w:val="single" w:color="D9D9D9" w:sz="4"/>
              <w:right w:val="single" w:color="D9D9D9" w:sz="4"/>
            </w:tcBorders>
            <w:tcMar>
              <w:top w:type="dxa" w:w="30"/>
              <w:left w:type="dxa" w:w="90"/>
              <w:bottom w:type="dxa" w:w="30"/>
              <w:right w:type="dxa" w:w="90"/>
            </w:tcMar>
          </w:tcPr>
          <w:p>
            <w:r>
              <w:rPr>
                <w:rFonts w:ascii="Times New Roman" w:cs="Times New Roman" w:eastAsia="Times New Roman" w:hAnsi="Times New Roman"/>
                <w:sz w:val="20"/>
                <w:szCs w:val="20"/>
              </w:rPr>
              <w:t xml:space="preserve">Data cleaning and split, Method 1 (TF-IDF), GitHub</w:t>
            </w:r>
          </w:p>
        </w:tc>
      </w:tr>
      <w:tr>
        <w:tc>
          <w:tcPr>
            <w:tcW w:type="dxa" w:w="3500"/>
            <w:tcBorders>
              <w:top w:val="single" w:color="D9D9D9" w:sz="4"/>
              <w:left w:val="single" w:color="D9D9D9" w:sz="4"/>
              <w:bottom w:val="single" w:color="D9D9D9" w:sz="4"/>
              <w:right w:val="single" w:color="D9D9D9" w:sz="4"/>
            </w:tcBorders>
            <w:shd w:fill="F8EDED" w:color="auto" w:val="clear"/>
            <w:tcMar>
              <w:top w:type="dxa" w:w="30"/>
              <w:left w:type="dxa" w:w="90"/>
              <w:bottom w:type="dxa" w:w="30"/>
              <w:right w:type="dxa" w:w="90"/>
            </w:tcMar>
          </w:tcPr>
          <w:p>
            <w:r>
              <w:rPr>
                <w:rFonts w:ascii="Times New Roman" w:cs="Times New Roman" w:eastAsia="Times New Roman" w:hAnsi="Times New Roman"/>
                <w:sz w:val="20"/>
                <w:szCs w:val="20"/>
              </w:rPr>
              <w:t xml:space="preserve">Omar Mohammed Abdulwahab Bodai</w:t>
            </w:r>
          </w:p>
        </w:tc>
        <w:tc>
          <w:tcPr>
            <w:tcW w:type="dxa" w:w="1400"/>
            <w:tcBorders>
              <w:top w:val="single" w:color="D9D9D9" w:sz="4"/>
              <w:left w:val="single" w:color="D9D9D9" w:sz="4"/>
              <w:bottom w:val="single" w:color="D9D9D9" w:sz="4"/>
              <w:right w:val="single" w:color="D9D9D9" w:sz="4"/>
            </w:tcBorders>
            <w:shd w:fill="F8EDED" w:color="auto" w:val="clear"/>
            <w:tcMar>
              <w:top w:type="dxa" w:w="30"/>
              <w:left w:type="dxa" w:w="90"/>
              <w:bottom w:type="dxa" w:w="30"/>
              <w:right w:type="dxa" w:w="90"/>
            </w:tcMar>
          </w:tcPr>
          <w:p>
            <w:r>
              <w:rPr>
                <w:rFonts w:ascii="Times New Roman" w:cs="Times New Roman" w:eastAsia="Times New Roman" w:hAnsi="Times New Roman"/>
                <w:sz w:val="20"/>
                <w:szCs w:val="20"/>
              </w:rPr>
              <w:t xml:space="preserve">2240040094</w:t>
            </w:r>
          </w:p>
        </w:tc>
        <w:tc>
          <w:tcPr>
            <w:tcW w:type="dxa" w:w="5180"/>
            <w:tcBorders>
              <w:top w:val="single" w:color="D9D9D9" w:sz="4"/>
              <w:left w:val="single" w:color="D9D9D9" w:sz="4"/>
              <w:bottom w:val="single" w:color="D9D9D9" w:sz="4"/>
              <w:right w:val="single" w:color="D9D9D9" w:sz="4"/>
            </w:tcBorders>
            <w:shd w:fill="F8EDED" w:color="auto" w:val="clear"/>
            <w:tcMar>
              <w:top w:type="dxa" w:w="30"/>
              <w:left w:type="dxa" w:w="90"/>
              <w:bottom w:type="dxa" w:w="30"/>
              <w:right w:type="dxa" w:w="90"/>
            </w:tcMar>
          </w:tcPr>
          <w:p>
            <w:r>
              <w:rPr>
                <w:rFonts w:ascii="Times New Roman" w:cs="Times New Roman" w:eastAsia="Times New Roman" w:hAnsi="Times New Roman"/>
                <w:sz w:val="20"/>
                <w:szCs w:val="20"/>
              </w:rPr>
              <w:t xml:space="preserve">Method 2 (RoBERTa), threshold choice, Try it cell</w:t>
            </w:r>
          </w:p>
        </w:tc>
      </w:tr>
      <w:tr>
        <w:tc>
          <w:tcPr>
            <w:tcW w:type="dxa" w:w="3500"/>
            <w:tcBorders>
              <w:top w:val="single" w:color="D9D9D9" w:sz="4"/>
              <w:left w:val="single" w:color="D9D9D9" w:sz="4"/>
              <w:bottom w:val="single" w:color="D9D9D9" w:sz="4"/>
              <w:right w:val="single" w:color="D9D9D9" w:sz="4"/>
            </w:tcBorders>
            <w:tcMar>
              <w:top w:type="dxa" w:w="30"/>
              <w:left w:type="dxa" w:w="90"/>
              <w:bottom w:type="dxa" w:w="30"/>
              <w:right w:type="dxa" w:w="90"/>
            </w:tcMar>
          </w:tcPr>
          <w:p>
            <w:r>
              <w:rPr>
                <w:rFonts w:ascii="Times New Roman" w:cs="Times New Roman" w:eastAsia="Times New Roman" w:hAnsi="Times New Roman"/>
                <w:sz w:val="20"/>
                <w:szCs w:val="20"/>
              </w:rPr>
              <w:t xml:space="preserve">Mohaiya Aldossary</w:t>
            </w:r>
          </w:p>
        </w:tc>
        <w:tc>
          <w:tcPr>
            <w:tcW w:type="dxa" w:w="1400"/>
            <w:tcBorders>
              <w:top w:val="single" w:color="D9D9D9" w:sz="4"/>
              <w:left w:val="single" w:color="D9D9D9" w:sz="4"/>
              <w:bottom w:val="single" w:color="D9D9D9" w:sz="4"/>
              <w:right w:val="single" w:color="D9D9D9" w:sz="4"/>
            </w:tcBorders>
            <w:tcMar>
              <w:top w:type="dxa" w:w="30"/>
              <w:left w:type="dxa" w:w="90"/>
              <w:bottom w:type="dxa" w:w="30"/>
              <w:right w:type="dxa" w:w="90"/>
            </w:tcMar>
          </w:tcPr>
          <w:p>
            <w:r>
              <w:rPr>
                <w:rFonts w:ascii="Times New Roman" w:cs="Times New Roman" w:eastAsia="Times New Roman" w:hAnsi="Times New Roman"/>
                <w:sz w:val="20"/>
                <w:szCs w:val="20"/>
              </w:rPr>
              <w:t xml:space="preserve">2230004579</w:t>
            </w:r>
          </w:p>
        </w:tc>
        <w:tc>
          <w:tcPr>
            <w:tcW w:type="dxa" w:w="5180"/>
            <w:tcBorders>
              <w:top w:val="single" w:color="D9D9D9" w:sz="4"/>
              <w:left w:val="single" w:color="D9D9D9" w:sz="4"/>
              <w:bottom w:val="single" w:color="D9D9D9" w:sz="4"/>
              <w:right w:val="single" w:color="D9D9D9" w:sz="4"/>
            </w:tcBorders>
            <w:tcMar>
              <w:top w:type="dxa" w:w="30"/>
              <w:left w:type="dxa" w:w="90"/>
              <w:bottom w:type="dxa" w:w="30"/>
              <w:right w:type="dxa" w:w="90"/>
            </w:tcMar>
          </w:tcPr>
          <w:p>
            <w:r>
              <w:rPr>
                <w:rFonts w:ascii="Times New Roman" w:cs="Times New Roman" w:eastAsia="Times New Roman" w:hAnsi="Times New Roman"/>
                <w:sz w:val="20"/>
                <w:szCs w:val="20"/>
              </w:rPr>
              <w:t xml:space="preserve">Negation test, error analysis, report and slides</w:t>
            </w:r>
          </w:p>
        </w:tc>
      </w:tr>
    </w:tbl>
    <w:p>
      <w:pPr>
        <w:spacing w:after="30" w:before="80"/>
      </w:pPr>
      <w:r>
        <w:rPr>
          <w:rFonts w:ascii="Times New Roman" w:cs="Times New Roman" w:eastAsia="Times New Roman" w:hAnsi="Times New Roman"/>
          <w:b/>
          <w:bCs/>
          <w:sz w:val="24"/>
          <w:szCs w:val="24"/>
        </w:rPr>
        <w:t xml:space="preserve">Selected Option and Purpose</w:t>
      </w:r>
    </w:p>
    <w:p>
      <w:pPr>
        <w:spacing w:after="50" w:line="236"/>
      </w:pPr>
      <w:r>
        <w:rPr>
          <w:rFonts w:ascii="Times New Roman" w:cs="Times New Roman" w:eastAsia="Times New Roman" w:hAnsi="Times New Roman"/>
          <w:b/>
          <w:bCs/>
          <w:sz w:val="20"/>
          <w:szCs w:val="20"/>
        </w:rPr>
        <w:t xml:space="preserve">Option 2: Review Sentiment Analysis. </w:t>
      </w:r>
      <w:r>
        <w:rPr>
          <w:rFonts w:ascii="Times New Roman" w:cs="Times New Roman" w:eastAsia="Times New Roman" w:hAnsi="Times New Roman"/>
          <w:sz w:val="20"/>
          <w:szCs w:val="20"/>
        </w:rPr>
        <w:t xml:space="preserve">Hotels get many online reviews every day and staff cannot read all of them. Our notebook reads a hotel review and says if the guest was happy or not, so a hotel manager or customer service team can find unhappy guests fast and reply to them.</w:t>
      </w:r>
    </w:p>
    <w:p>
      <w:pPr>
        <w:spacing w:after="30" w:before="80"/>
      </w:pPr>
      <w:r>
        <w:rPr>
          <w:rFonts w:ascii="Times New Roman" w:cs="Times New Roman" w:eastAsia="Times New Roman" w:hAnsi="Times New Roman"/>
          <w:b/>
          <w:bCs/>
          <w:sz w:val="24"/>
          <w:szCs w:val="24"/>
        </w:rPr>
        <w:t xml:space="preserve">Input and Output</w:t>
      </w:r>
    </w:p>
    <w:p>
      <w:pPr>
        <w:spacing w:after="50" w:line="236"/>
      </w:pPr>
      <w:r>
        <w:rPr>
          <w:rFonts w:ascii="Times New Roman" w:cs="Times New Roman" w:eastAsia="Times New Roman" w:hAnsi="Times New Roman"/>
          <w:b/>
          <w:bCs/>
          <w:sz w:val="20"/>
          <w:szCs w:val="20"/>
        </w:rPr>
        <w:t xml:space="preserve">Input: </w:t>
      </w:r>
      <w:r>
        <w:rPr>
          <w:rFonts w:ascii="Times New Roman" w:cs="Times New Roman" w:eastAsia="Times New Roman" w:hAnsi="Times New Roman"/>
          <w:sz w:val="20"/>
          <w:szCs w:val="20"/>
        </w:rPr>
        <w:t xml:space="preserve">one English hotel review (a sentence or a short paragraph). </w:t>
      </w: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Positive or Negative, with a confidence score. Example: “The room was clean and the staff were friendly” → Positive. “The room was not clean and nobody helped us” → Negative. Mixed or neutral reviews do not fit two labels, and we will discuss this as a limitation.</w:t>
      </w:r>
    </w:p>
    <w:p>
      <w:pPr>
        <w:spacing w:after="30" w:before="80"/>
      </w:pPr>
      <w:r>
        <w:rPr>
          <w:rFonts w:ascii="Times New Roman" w:cs="Times New Roman" w:eastAsia="Times New Roman" w:hAnsi="Times New Roman"/>
          <w:b/>
          <w:bCs/>
          <w:sz w:val="24"/>
          <w:szCs w:val="24"/>
        </w:rPr>
        <w:t xml:space="preserve">Dataset and Size</w:t>
      </w:r>
    </w:p>
    <w:p>
      <w:pPr>
        <w:spacing w:after="50" w:line="236"/>
      </w:pPr>
      <w:r>
        <w:rPr>
          <w:rFonts w:ascii="Times New Roman" w:cs="Times New Roman" w:eastAsia="Times New Roman" w:hAnsi="Times New Roman"/>
          <w:b/>
          <w:bCs/>
          <w:sz w:val="20"/>
          <w:szCs w:val="20"/>
        </w:rPr>
        <w:t xml:space="preserve">Datafiniti Hotel Reviews</w:t>
      </w:r>
      <w:r>
        <w:rPr>
          <w:rFonts w:ascii="Times New Roman" w:cs="Times New Roman" w:eastAsia="Times New Roman" w:hAnsi="Times New Roman"/>
          <w:sz w:val="20"/>
          <w:szCs w:val="20"/>
        </w:rPr>
        <w:t xml:space="preserve"> [1], a public dataset on Kaggle with 10,000 reviews of US hotels and a 1–5 star rating. We label 1–2 stars as Negative and 4–5 stars as Positive and drop 3-star reviews. After removing empty and duplicate reviews we have about 8,400 reviews (about 1,150 Negative and 7,270 Positive). We split them 70% train, 15% development and 15% test, stratified, with duplicates removed first so the same review cannot be in two splits. The data has many more positive reviews, so macro F1 is our main score.</w:t>
      </w:r>
    </w:p>
    <w:p>
      <w:pPr>
        <w:spacing w:after="30" w:before="80"/>
      </w:pPr>
      <w:r>
        <w:rPr>
          <w:rFonts w:ascii="Times New Roman" w:cs="Times New Roman" w:eastAsia="Times New Roman" w:hAnsi="Times New Roman"/>
          <w:b/>
          <w:bCs/>
          <w:sz w:val="24"/>
          <w:szCs w:val="24"/>
        </w:rPr>
        <w:t xml:space="preserve">Two Methods</w:t>
      </w:r>
    </w:p>
    <w:p>
      <w:pPr>
        <w:pStyle w:val="ListParagraph"/>
        <w:numPr>
          <w:ilvl w:val="0"/>
          <w:numId w:val="2"/>
        </w:numPr>
        <w:spacing w:after="25" w:line="236"/>
      </w:pPr>
      <w:r>
        <w:rPr>
          <w:rFonts w:ascii="Times New Roman" w:cs="Times New Roman" w:eastAsia="Times New Roman" w:hAnsi="Times New Roman"/>
          <w:b/>
          <w:bCs/>
          <w:sz w:val="20"/>
          <w:szCs w:val="20"/>
        </w:rPr>
        <w:t xml:space="preserve">Method 1, traditional: </w:t>
      </w:r>
      <w:r>
        <w:rPr>
          <w:rFonts w:ascii="Times New Roman" w:cs="Times New Roman" w:eastAsia="Times New Roman" w:hAnsi="Times New Roman"/>
          <w:sz w:val="20"/>
          <w:szCs w:val="20"/>
        </w:rPr>
        <w:t xml:space="preserve">TF-IDF word features (single words and word pairs) with logistic regression, trained on our training set. Word pairs like “not clean” give it some chance to catch negation. We pick its settings on the development set.</w:t>
      </w:r>
    </w:p>
    <w:p>
      <w:pPr>
        <w:pStyle w:val="ListParagraph"/>
        <w:numPr>
          <w:ilvl w:val="0"/>
          <w:numId w:val="2"/>
        </w:numPr>
        <w:spacing w:after="25" w:line="236"/>
      </w:pPr>
      <w:r>
        <w:rPr>
          <w:rFonts w:ascii="Times New Roman" w:cs="Times New Roman" w:eastAsia="Times New Roman" w:hAnsi="Times New Roman"/>
          <w:b/>
          <w:bCs/>
          <w:sz w:val="20"/>
          <w:szCs w:val="20"/>
        </w:rPr>
        <w:t xml:space="preserve">Method 2, pretrained: </w:t>
      </w:r>
      <w:r>
        <w:rPr>
          <w:rFonts w:ascii="Times New Roman" w:cs="Times New Roman" w:eastAsia="Times New Roman" w:hAnsi="Times New Roman"/>
          <w:sz w:val="20"/>
          <w:szCs w:val="20"/>
        </w:rPr>
        <w:t xml:space="preserve">the RoBERTa sentiment model cardiffnlp/twitter-roberta-base-sentiment [2], used as it is with no extra training. We turn its output into one positive score and pick the cut-off on the development set.</w:t>
      </w:r>
    </w:p>
    <w:p>
      <w:pPr>
        <w:spacing w:after="30" w:before="80"/>
      </w:pPr>
      <w:r>
        <w:rPr>
          <w:rFonts w:ascii="Times New Roman" w:cs="Times New Roman" w:eastAsia="Times New Roman" w:hAnsi="Times New Roman"/>
          <w:b/>
          <w:bCs/>
          <w:sz w:val="24"/>
          <w:szCs w:val="24"/>
        </w:rPr>
        <w:t xml:space="preserve">Proposed Challenge and Experimental Question</w:t>
      </w:r>
    </w:p>
    <w:p>
      <w:pPr>
        <w:spacing w:after="50" w:line="236"/>
      </w:pPr>
      <w:r>
        <w:rPr>
          <w:rFonts w:ascii="Times New Roman" w:cs="Times New Roman" w:eastAsia="Times New Roman" w:hAnsi="Times New Roman"/>
          <w:b/>
          <w:bCs/>
          <w:sz w:val="20"/>
          <w:szCs w:val="20"/>
        </w:rPr>
        <w:t xml:space="preserve">Challenge: </w:t>
      </w:r>
      <w:r>
        <w:rPr>
          <w:rFonts w:ascii="Times New Roman" w:cs="Times New Roman" w:eastAsia="Times New Roman" w:hAnsi="Times New Roman"/>
          <w:sz w:val="20"/>
          <w:szCs w:val="20"/>
        </w:rPr>
        <w:t xml:space="preserve">negation. Guests write things like “not worth the price”, “no hot water” or “wasn’t bad”, where the meaning is the opposite of the sentiment word. </w:t>
      </w:r>
      <w:r>
        <w:rPr>
          <w:rFonts w:ascii="Times New Roman" w:cs="Times New Roman" w:eastAsia="Times New Roman" w:hAnsi="Times New Roman"/>
          <w:b/>
          <w:bCs/>
          <w:sz w:val="20"/>
          <w:szCs w:val="20"/>
        </w:rPr>
        <w:t xml:space="preserve">Question: </w:t>
      </w:r>
      <w:r>
        <w:rPr>
          <w:rFonts w:ascii="Times New Roman" w:cs="Times New Roman" w:eastAsia="Times New Roman" w:hAnsi="Times New Roman"/>
          <w:i/>
          <w:iCs/>
          <w:sz w:val="20"/>
          <w:szCs w:val="20"/>
        </w:rPr>
        <w:t xml:space="preserve">Which method gets a higher macro F1 on hotel reviews that contain negation words (no, not, never, neither, nor, without, cannot, n’t): TF-IDF with logistic regression trained on hotel reviews, or the pretrained RoBERTa model?</w:t>
      </w:r>
    </w:p>
    <w:p>
      <w:pPr>
        <w:spacing w:after="50" w:line="236"/>
      </w:pPr>
      <w:r>
        <w:rPr>
          <w:rFonts w:ascii="Times New Roman" w:cs="Times New Roman" w:eastAsia="Times New Roman" w:hAnsi="Times New Roman"/>
          <w:sz w:val="20"/>
          <w:szCs w:val="20"/>
        </w:rPr>
        <w:t xml:space="preserve">We fix the negation word list before testing. Both methods are tested on the same test reviews with accuracy and macro F1, on the full test set and on reviews with and without negation, and compared with a majority-class baseline. We will explain at least three wrong predictions, and the Try it cell will classify any new review without retraining.</w:t>
      </w:r>
    </w:p>
    <w:p>
      <w:pPr>
        <w:spacing w:after="30" w:before="80"/>
      </w:pPr>
      <w:r>
        <w:rPr>
          <w:rFonts w:ascii="Times New Roman" w:cs="Times New Roman" w:eastAsia="Times New Roman" w:hAnsi="Times New Roman"/>
          <w:b/>
          <w:bCs/>
          <w:sz w:val="24"/>
          <w:szCs w:val="24"/>
        </w:rPr>
        <w:t xml:space="preserve">Related Work</w:t>
      </w:r>
    </w:p>
    <w:p>
      <w:pPr>
        <w:spacing w:after="50" w:line="236"/>
      </w:pPr>
      <w:r>
        <w:rPr>
          <w:rFonts w:ascii="Times New Roman" w:cs="Times New Roman" w:eastAsia="Times New Roman" w:hAnsi="Times New Roman"/>
          <w:sz w:val="20"/>
          <w:szCs w:val="20"/>
        </w:rPr>
        <w:t xml:space="preserve">Pang et al. [3] used word features with naive Bayes, maximum entropy (logistic regression) and SVM classifiers on movie reviews and got strong results. They also tagged words that come after a negation. This is why we use TF-IDF with logistic regression and add word pairs. Wiegand et al. [4] reviewed many studies on negation in sentiment analysis and found that knowing which words a negation affects is hard, mostly for simple word-based models. The RoBERTa model we use comes from Barbieri et al. [2] and was trained on tweets, so we also check whether it works on longer hotel reviews as well as a model trained on hotel data.</w:t>
      </w:r>
    </w:p>
    <w:p>
      <w:pPr>
        <w:spacing w:after="30" w:before="80"/>
      </w:pPr>
      <w:r>
        <w:rPr>
          <w:rFonts w:ascii="Times New Roman" w:cs="Times New Roman" w:eastAsia="Times New Roman" w:hAnsi="Times New Roman"/>
          <w:b/>
          <w:bCs/>
          <w:sz w:val="24"/>
          <w:szCs w:val="24"/>
        </w:rPr>
        <w:t xml:space="preserve">References</w:t>
      </w:r>
    </w:p>
    <w:p>
      <w:pPr>
        <w:spacing w:after="10"/>
        <w:ind w:left="340" w:hanging="340"/>
      </w:pPr>
      <w:r>
        <w:rPr>
          <w:rFonts w:ascii="Times New Roman" w:cs="Times New Roman" w:eastAsia="Times New Roman" w:hAnsi="Times New Roman"/>
          <w:sz w:val="18"/>
          <w:szCs w:val="18"/>
        </w:rPr>
        <w:t xml:space="preserve">[1] Datafiniti, “Hotel Reviews,” Kaggle. https://www.kaggle.com/datasets/datafiniti/hotel-reviews</w:t>
      </w:r>
    </w:p>
    <w:p>
      <w:pPr>
        <w:spacing w:after="10"/>
        <w:ind w:left="340" w:hanging="340"/>
      </w:pPr>
      <w:r>
        <w:rPr>
          <w:rFonts w:ascii="Times New Roman" w:cs="Times New Roman" w:eastAsia="Times New Roman" w:hAnsi="Times New Roman"/>
          <w:sz w:val="18"/>
          <w:szCs w:val="18"/>
        </w:rPr>
        <w:t xml:space="preserve">[2] F. Barbieri, J. Camacho-Collados, L. Espinosa-Anke and L. Neves, “TweetEval: Unified benchmark and comparative evaluation for tweet classification,” in Findings of EMNLP, 2020.</w:t>
      </w:r>
    </w:p>
    <w:p>
      <w:pPr>
        <w:spacing w:after="10"/>
        <w:ind w:left="340" w:hanging="340"/>
      </w:pPr>
      <w:r>
        <w:rPr>
          <w:rFonts w:ascii="Times New Roman" w:cs="Times New Roman" w:eastAsia="Times New Roman" w:hAnsi="Times New Roman"/>
          <w:sz w:val="18"/>
          <w:szCs w:val="18"/>
        </w:rPr>
        <w:t xml:space="preserve">[3] B. Pang, L. Lee and S. Vaithyanathan, “Thumbs up? Sentiment classification using machine learning techniques,” in Proc. EMNLP, 2002, pp. 79–86.</w:t>
      </w:r>
    </w:p>
    <w:p>
      <w:pPr>
        <w:spacing w:after="10"/>
        <w:ind w:left="340" w:hanging="340"/>
      </w:pPr>
      <w:r>
        <w:rPr>
          <w:rFonts w:ascii="Times New Roman" w:cs="Times New Roman" w:eastAsia="Times New Roman" w:hAnsi="Times New Roman"/>
          <w:sz w:val="18"/>
          <w:szCs w:val="18"/>
        </w:rPr>
        <w:t xml:space="preserve">[4] M. Wiegand, A. Balahur, B. Roth, D. Klakow and A. Montoyo, “A survey on the role of negation in sentiment analysis,” in Proc. Workshop on Negation and Speculation in NLP, 2010, pp. 60–68.</w:t>
      </w:r>
    </w:p>
    <w:sectPr>
      <w:headerReference w:type="default" r:id="rId6"/>
      <w:footerReference w:type="default" r:id="rId7"/>
      <w:pgSz w:w="12240" w:h="15840" w:orient="portrait"/>
      <w:pgMar w:top="1450" w:right="1080" w:bottom="850" w:left="1080"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Times New Roman" w:cs="Times New Roman" w:eastAsia="Times New Roman" w:hAnsi="Times New Roman"/>
        <w:sz w:val="20"/>
        <w:szCs w:val="20"/>
      </w:rPr>
      <w:t xml:space="preserve">NLP Project Proposal</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6286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876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440a8985398fbc96028f12e6c362816b53427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2026-10-06T13:09:05.762Z</dcterms:created>
  <dcterms:modified xsi:type="dcterms:W3CDTF">2026-10-06T13:09:05.768Z</dcterms:modified>
</cp:coreProperties>
</file>

<file path=docProps/custom.xml><?xml version="1.0" encoding="utf-8"?>
<Properties xmlns="http://schemas.openxmlformats.org/officeDocument/2006/custom-properties" xmlns:vt="http://schemas.openxmlformats.org/officeDocument/2006/docPropsVTypes"/>
</file>