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Mal Business</w:t>
      </w:r>
    </w:p>
    <w:p>
      <w:pPr>
        <w:pStyle w:val="Heading1"/>
        <w:jc w:val="center"/>
      </w:pPr>
      <w:r>
        <w:t>Dashboard Insights &amp; Analytics</w:t>
        <w:br/>
        <w:t>Metrics Summary &amp; Definitions</w:t>
      </w:r>
    </w:p>
    <w:p/>
    <w:p>
      <w:pPr>
        <w:jc w:val="center"/>
      </w:pPr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Date: </w:t>
      </w:r>
      <w:r>
        <w:t>June 29, 2026</w:t>
        <w:br/>
      </w:r>
      <w:r>
        <w:rPr>
          <w:b/>
        </w:rPr>
        <w:t xml:space="preserve">Prepared for: </w:t>
      </w:r>
      <w:r>
        <w:t>Mal Bank</w:t>
        <w:br/>
      </w:r>
      <w:r>
        <w:rPr>
          <w:b/>
        </w:rPr>
        <w:t xml:space="preserve">Prototype: </w:t>
      </w:r>
      <w:r>
        <w:t>https://mohak-biz2x.github.io/bank-x-merchant-dashboard/dashboard-prototypes-index.html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Dashboard Insights &amp; Analytics module adds visual data representations to the Merchant Dashboard, providing merchants with at-a-glance visibility into their financing activity, portfolio health, and counterparty risk. The module adapts to the merchant's financing product (Payable or Receivable) and activity level.</w:t>
      </w:r>
    </w:p>
    <w:p>
      <w:pPr>
        <w:pStyle w:val="Heading2"/>
      </w:pPr>
      <w:r>
        <w:t>Prototype Variants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Data</w:t>
            </w:r>
          </w:p>
        </w:tc>
      </w:tr>
      <w:tr>
        <w:tc>
          <w:tcPr>
            <w:tcW w:type="dxa" w:w="2880"/>
          </w:tcPr>
          <w:p>
            <w:r>
              <w:t>Payable Financing (Full Data)</w:t>
            </w:r>
          </w:p>
        </w:tc>
        <w:tc>
          <w:tcPr>
            <w:tcW w:type="dxa" w:w="2880"/>
          </w:tcPr>
          <w:p>
            <w:r>
              <w:t>Active merchant using payable invoice financing</w:t>
            </w:r>
          </w:p>
        </w:tc>
        <w:tc>
          <w:tcPr>
            <w:tcW w:type="dxa" w:w="2880"/>
          </w:tcPr>
          <w:p>
            <w:r>
              <w:t>6 suppliers, 82 invoices, 64% utilised</w:t>
            </w:r>
          </w:p>
        </w:tc>
      </w:tr>
      <w:tr>
        <w:tc>
          <w:tcPr>
            <w:tcW w:type="dxa" w:w="2880"/>
          </w:tcPr>
          <w:p>
            <w:r>
              <w:t>Receivable Financing (Full Data)</w:t>
            </w:r>
          </w:p>
        </w:tc>
        <w:tc>
          <w:tcPr>
            <w:tcW w:type="dxa" w:w="2880"/>
          </w:tcPr>
          <w:p>
            <w:r>
              <w:t>Active merchant using receivable invoice financing</w:t>
            </w:r>
          </w:p>
        </w:tc>
        <w:tc>
          <w:tcPr>
            <w:tcW w:type="dxa" w:w="2880"/>
          </w:tcPr>
          <w:p>
            <w:r>
              <w:t>5 buyers, 50 invoices, 64% utilised</w:t>
            </w:r>
          </w:p>
        </w:tc>
      </w:tr>
      <w:tr>
        <w:tc>
          <w:tcPr>
            <w:tcW w:type="dxa" w:w="2880"/>
          </w:tcPr>
          <w:p>
            <w:r>
              <w:t>Low Activity</w:t>
            </w:r>
          </w:p>
        </w:tc>
        <w:tc>
          <w:tcPr>
            <w:tcW w:type="dxa" w:w="2880"/>
          </w:tcPr>
          <w:p>
            <w:r>
              <w:t>Merchant who just started (1-2 months of data)</w:t>
            </w:r>
          </w:p>
        </w:tc>
        <w:tc>
          <w:tcPr>
            <w:tcW w:type="dxa" w:w="2880"/>
          </w:tcPr>
          <w:p>
            <w:r>
              <w:t>1 supplier, 5 invoices, 6% utilised</w:t>
            </w:r>
          </w:p>
        </w:tc>
      </w:tr>
      <w:tr>
        <w:tc>
          <w:tcPr>
            <w:tcW w:type="dxa" w:w="2880"/>
          </w:tcPr>
          <w:p>
            <w:r>
              <w:t>No Activity (Empty State)</w:t>
            </w:r>
          </w:p>
        </w:tc>
        <w:tc>
          <w:tcPr>
            <w:tcW w:type="dxa" w:w="2880"/>
          </w:tcPr>
          <w:p>
            <w:r>
              <w:t>Merchant with limit just enabled, zero transactions</w:t>
            </w:r>
          </w:p>
        </w:tc>
        <w:tc>
          <w:tcPr>
            <w:tcW w:type="dxa" w:w="2880"/>
          </w:tcPr>
          <w:p>
            <w:r>
              <w:t>0 invoices, 0% utilised</w:t>
            </w:r>
          </w:p>
        </w:tc>
      </w:tr>
    </w:tbl>
    <w:p/>
    <w:p>
      <w:pPr>
        <w:pStyle w:val="Heading1"/>
      </w:pPr>
      <w:r>
        <w:t>2. Metrics &amp; Definitions</w:t>
      </w:r>
    </w:p>
    <w:p>
      <w:pPr>
        <w:pStyle w:val="Heading2"/>
      </w:pPr>
      <w:r>
        <w:t>2.1 Credit Utilisation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4320"/>
          </w:tcPr>
          <w:p>
            <w:r>
              <w:t>Area/Line chart with reference 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4320"/>
          </w:tcPr>
          <w:p>
            <w:r>
              <w:t>Shows how much of the approved credit limit has been drawn down over time.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4320"/>
          </w:tcPr>
          <w:p>
            <w:r>
              <w:t>Utilised Amount ÷ Approved Limit × 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Periods</w:t>
            </w:r>
          </w:p>
        </w:tc>
        <w:tc>
          <w:tcPr>
            <w:tcW w:type="dxa" w:w="4320"/>
          </w:tcPr>
          <w:p>
            <w:r>
              <w:t>3 months, 6 months, 12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 Visibility</w:t>
            </w:r>
          </w:p>
        </w:tc>
        <w:tc>
          <w:tcPr>
            <w:tcW w:type="dxa" w:w="4320"/>
          </w:tcPr>
          <w:p>
            <w:r>
              <w:t>Payable: amber payable line only. Receivable: green receivable line only.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Helps merchant plan financing capacity and avoid hitting limit.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320"/>
          </w:tcPr>
          <w:p>
            <w:r>
              <w:t>A dashed red reference line marks the Approved Limit (e.g., AED 8,000,000).</w:t>
            </w:r>
          </w:p>
        </w:tc>
      </w:tr>
    </w:tbl>
    <w:p/>
    <w:p>
      <w:pPr>
        <w:pStyle w:val="Heading2"/>
      </w:pPr>
      <w:r>
        <w:t>2.2 Invoice Count Trend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4320"/>
          </w:tcPr>
          <w:p>
            <w:r>
              <w:t>Line chart with area fill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4320"/>
          </w:tcPr>
          <w:p>
            <w:r>
              <w:t>Count of invoices submitted per month over the selected time period.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4320"/>
          </w:tcPr>
          <w:p>
            <w:r>
              <w:t>Count of invoices submitted in each calendar month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Periods</w:t>
            </w:r>
          </w:p>
        </w:tc>
        <w:tc>
          <w:tcPr>
            <w:tcW w:type="dxa" w:w="4320"/>
          </w:tcPr>
          <w:p>
            <w:r>
              <w:t>3 months, 6 months, 12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 Visibility</w:t>
            </w:r>
          </w:p>
        </w:tc>
        <w:tc>
          <w:tcPr>
            <w:tcW w:type="dxa" w:w="4320"/>
          </w:tcPr>
          <w:p>
            <w:r>
              <w:t>Both Payable and Receivable roles.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Identifies growth trends, seasonality, and submission patterns.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2.3 Payment Terms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4320"/>
          </w:tcPr>
          <w:p>
            <w:r>
              <w:t>Donut chart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4320"/>
          </w:tcPr>
          <w:p>
            <w:r>
              <w:t>Breakdown of all invoices by their payment tenor (days until due).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4320"/>
          </w:tcPr>
          <w:p>
            <w:r>
              <w:t>Count of invoices per tenor bucket (30, 60, 90, 120 days)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Periods</w:t>
            </w:r>
          </w:p>
        </w:tc>
        <w:tc>
          <w:tcPr>
            <w:tcW w:type="dxa" w:w="4320"/>
          </w:tcPr>
          <w:p>
            <w:r>
              <w:t>All-time (no time selector)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 Visibility</w:t>
            </w:r>
          </w:p>
        </w:tc>
        <w:tc>
          <w:tcPr>
            <w:tcW w:type="dxa" w:w="4320"/>
          </w:tcPr>
          <w:p>
            <w:r>
              <w:t>Both Payable and Receivable roles.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Shows the tenor mix — helps assess cash flow timing and financing cost exposure.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320"/>
          </w:tcPr>
          <w:p>
            <w:r>
              <w:t>Center of donut displays total invoice count.</w:t>
            </w:r>
          </w:p>
        </w:tc>
      </w:tr>
    </w:tbl>
    <w:p/>
    <w:p>
      <w:pPr>
        <w:pStyle w:val="Heading2"/>
      </w:pPr>
      <w:r>
        <w:t>2.4 Supplier / Buyer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4320"/>
          </w:tcPr>
          <w:p>
            <w:r>
              <w:t>Donut chart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4320"/>
          </w:tcPr>
          <w:p>
            <w:r>
              <w:t>Distribution of total financed amount across counterparties.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4320"/>
          </w:tcPr>
          <w:p>
            <w:r>
              <w:t>Invoice amount per counterparty ÷ Total financed amount × 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Periods</w:t>
            </w:r>
          </w:p>
        </w:tc>
        <w:tc>
          <w:tcPr>
            <w:tcW w:type="dxa" w:w="4320"/>
          </w:tcPr>
          <w:p>
            <w:r>
              <w:t>All-time (no time selector)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 Visibility</w:t>
            </w:r>
          </w:p>
        </w:tc>
        <w:tc>
          <w:tcPr>
            <w:tcW w:type="dxa" w:w="4320"/>
          </w:tcPr>
          <w:p>
            <w:r>
              <w:t>Payable: "Supplier Distribution". Receivable: "Buyer Distribution".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Visualizes counterparty concentration — identifies over-reliance on single entities.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320"/>
          </w:tcPr>
          <w:p>
            <w:r>
              <w:t>Top 5 counterparties shown individually; remainder grouped as "Others". Center shows total AED amount.</w:t>
            </w:r>
          </w:p>
        </w:tc>
      </w:tr>
    </w:tbl>
    <w:p/>
    <w:p>
      <w:pPr>
        <w:pStyle w:val="Heading2"/>
      </w:pPr>
      <w:r>
        <w:t>2.5 Approval Ratio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4320"/>
          </w:tcPr>
          <w:p>
            <w:r>
              <w:t>Score metric with progress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4320"/>
          </w:tcPr>
          <w:p>
            <w:r>
              <w:t>Percentage of invoices approved out of all decisioned (approved + rejected) invoices.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4320"/>
          </w:tcPr>
          <w:p>
            <w:r>
              <w:t>Approved Invoices ÷ (Approved + Rejected) × 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Periods</w:t>
            </w:r>
          </w:p>
        </w:tc>
        <w:tc>
          <w:tcPr>
            <w:tcW w:type="dxa" w:w="4320"/>
          </w:tcPr>
          <w:p>
            <w:r>
              <w:t>All-time cumulative (not month-over-month)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 Visibility</w:t>
            </w:r>
          </w:p>
        </w:tc>
        <w:tc>
          <w:tcPr>
            <w:tcW w:type="dxa" w:w="4320"/>
          </w:tcPr>
          <w:p>
            <w:r>
              <w:t>Both Payable and Receivable roles.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Single health metric showing invoice quality — high ratio means fewer rejections.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320"/>
          </w:tcPr>
          <w:p>
            <w:r>
              <w:t>Excludes Pending and Refer invoices (not yet decisioned). Thresholds: ≥90% = Healthy (green), 70-89% = Average (amber), &lt;70% = Low (red). Designed as cumulative to handle irregular submission patterns.</w:t>
            </w:r>
          </w:p>
        </w:tc>
      </w:tr>
    </w:tbl>
    <w:p/>
    <w:p>
      <w:pPr>
        <w:pStyle w:val="Heading2"/>
      </w:pPr>
      <w:r>
        <w:t>2.6 Concentration Risk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4320"/>
          </w:tcPr>
          <w:p>
            <w:r>
              <w:t>Score metric with gradient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4320"/>
          </w:tcPr>
          <w:p>
            <w:r>
              <w:t>Measures how dependent the portfolio is on a small number of counterparties.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4320"/>
          </w:tcPr>
          <w:p>
            <w:r>
              <w:t>Derived from HHI (Herfindahl-Hirschman Index) — sum of squared market shares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Periods</w:t>
            </w:r>
          </w:p>
        </w:tc>
        <w:tc>
          <w:tcPr>
            <w:tcW w:type="dxa" w:w="4320"/>
          </w:tcPr>
          <w:p>
            <w:r>
              <w:t>All-time (no time selector)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 Visibility</w:t>
            </w:r>
          </w:p>
        </w:tc>
        <w:tc>
          <w:tcPr>
            <w:tcW w:type="dxa" w:w="4320"/>
          </w:tcPr>
          <w:p>
            <w:r>
              <w:t>Payable: supplier concentration. Receivable: buyer concentration.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Alerts merchant to concentration risk — over-reliance on one counterparty increases default exposure.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320"/>
          </w:tcPr>
          <w:p>
            <w:r>
              <w:t>Score 0-100. Thresholds: 0-40 = Low (green), 41-65 = Moderate (amber), 66-100 = High (red). Supporting metrics: Top 1 %, Top 3 %, HHI Index. HHI range: 0-10,000 (above 2,500 = high concentration).</w:t>
            </w:r>
          </w:p>
        </w:tc>
      </w:tr>
    </w:tbl>
    <w:p/>
    <w:p>
      <w:pPr>
        <w:pStyle w:val="Heading1"/>
      </w:pPr>
      <w:r>
        <w:t>3. Role-Based Visibility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Payable</w:t>
            </w:r>
          </w:p>
        </w:tc>
        <w:tc>
          <w:tcPr>
            <w:tcW w:type="dxa" w:w="2160"/>
          </w:tcPr>
          <w:p>
            <w:r>
              <w:t>Receivable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</w:tr>
      <w:tr>
        <w:tc>
          <w:tcPr>
            <w:tcW w:type="dxa" w:w="2160"/>
          </w:tcPr>
          <w:p>
            <w:r>
              <w:t>Credit Utilisation</w:t>
            </w:r>
          </w:p>
        </w:tc>
        <w:tc>
          <w:tcPr>
            <w:tcW w:type="dxa" w:w="2160"/>
          </w:tcPr>
          <w:p>
            <w:r>
              <w:t>✓ (payable only)</w:t>
            </w:r>
          </w:p>
        </w:tc>
        <w:tc>
          <w:tcPr>
            <w:tcW w:type="dxa" w:w="2160"/>
          </w:tcPr>
          <w:p>
            <w:r>
              <w:t>✓ (receivable only)</w:t>
            </w:r>
          </w:p>
        </w:tc>
        <w:tc>
          <w:tcPr>
            <w:tcW w:type="dxa" w:w="2160"/>
          </w:tcPr>
          <w:p>
            <w:r>
              <w:t>✓ (both series)</w:t>
            </w:r>
          </w:p>
        </w:tc>
      </w:tr>
      <w:tr>
        <w:tc>
          <w:tcPr>
            <w:tcW w:type="dxa" w:w="2160"/>
          </w:tcPr>
          <w:p>
            <w:r>
              <w:t>Invoice Count Trend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Payment Terms Distribution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Supplier Distribution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Buyer Distribution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Approval Ratio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Concentration Risk</w:t>
            </w:r>
          </w:p>
        </w:tc>
        <w:tc>
          <w:tcPr>
            <w:tcW w:type="dxa" w:w="2160"/>
          </w:tcPr>
          <w:p>
            <w:r>
              <w:t>✓ (supplier)</w:t>
            </w:r>
          </w:p>
        </w:tc>
        <w:tc>
          <w:tcPr>
            <w:tcW w:type="dxa" w:w="2160"/>
          </w:tcPr>
          <w:p>
            <w:r>
              <w:t>✓ (buyer)</w:t>
            </w:r>
          </w:p>
        </w:tc>
        <w:tc>
          <w:tcPr>
            <w:tcW w:type="dxa" w:w="2160"/>
          </w:tcPr>
          <w:p>
            <w:r>
              <w:t>✓ (supplier)</w:t>
            </w:r>
          </w:p>
        </w:tc>
      </w:tr>
    </w:tbl>
    <w:p/>
    <w:p>
      <w:r>
        <w:t>Excluded roles: supplier-only, premium-buyer, premium-buyer-supplier do not see the analytics section.</w:t>
      </w:r>
    </w:p>
    <w:p>
      <w:pPr>
        <w:pStyle w:val="Heading1"/>
      </w:pPr>
      <w:r>
        <w:t>4. Empty &amp; Low-Activity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No Activity</w:t>
            </w:r>
          </w:p>
        </w:tc>
        <w:tc>
          <w:tcPr>
            <w:tcW w:type="dxa" w:w="4320"/>
          </w:tcPr>
          <w:p>
            <w:r>
              <w:t>Charts replaced with empty state card: "No activity yet — Your insights will appear here once you start submitting invoices and adding suppliers."</w:t>
            </w:r>
          </w:p>
        </w:tc>
      </w:tr>
      <w:tr>
        <w:tc>
          <w:tcPr>
            <w:tcW w:type="dxa" w:w="4320"/>
          </w:tcPr>
          <w:p>
            <w:r>
              <w:t>Low Activity (&lt; 3 months)</w:t>
            </w:r>
          </w:p>
        </w:tc>
        <w:tc>
          <w:tcPr>
            <w:tcW w:type="dxa" w:w="4320"/>
          </w:tcPr>
          <w:p>
            <w:r>
              <w:t>Charts render with available data points; 6M and 12M time selectors are disabled; info banner shown: "Your analytics will become more detailed as your financing activity grows."</w:t>
            </w:r>
          </w:p>
        </w:tc>
      </w:tr>
    </w:tbl>
    <w:p>
      <w:pPr>
        <w:pStyle w:val="Heading1"/>
      </w:pPr>
      <w:r>
        <w:t>5. Interactive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Time Period Selector</w:t>
            </w:r>
          </w:p>
        </w:tc>
        <w:tc>
          <w:tcPr>
            <w:tcW w:type="dxa" w:w="4320"/>
          </w:tcPr>
          <w:p>
            <w:r>
              <w:t>Segmented buttons (3M / 6M / 12M) that re-render charts with selected data range</w:t>
            </w:r>
          </w:p>
        </w:tc>
      </w:tr>
      <w:tr>
        <w:tc>
          <w:tcPr>
            <w:tcW w:type="dxa" w:w="4320"/>
          </w:tcPr>
          <w:p>
            <w:r>
              <w:t>Tooltips</w:t>
            </w:r>
          </w:p>
        </w:tc>
        <w:tc>
          <w:tcPr>
            <w:tcW w:type="dxa" w:w="4320"/>
          </w:tcPr>
          <w:p>
            <w:r>
              <w:t>Hover/tap on any data point shows detailed values (month, amount, percentage)</w:t>
            </w:r>
          </w:p>
        </w:tc>
      </w:tr>
      <w:tr>
        <w:tc>
          <w:tcPr>
            <w:tcW w:type="dxa" w:w="4320"/>
          </w:tcPr>
          <w:p>
            <w:r>
              <w:t>Responsive Layout</w:t>
            </w:r>
          </w:p>
        </w:tc>
        <w:tc>
          <w:tcPr>
            <w:tcW w:type="dxa" w:w="4320"/>
          </w:tcPr>
          <w:p>
            <w:r>
              <w:t>2-column grid on desktop, single column on mobile (&lt;1024px)</w:t>
            </w:r>
          </w:p>
        </w:tc>
      </w:tr>
      <w:tr>
        <w:tc>
          <w:tcPr>
            <w:tcW w:type="dxa" w:w="4320"/>
          </w:tcPr>
          <w:p>
            <w:r>
              <w:t>Card Hover Effect</w:t>
            </w:r>
          </w:p>
        </w:tc>
        <w:tc>
          <w:tcPr>
            <w:tcW w:type="dxa" w:w="4320"/>
          </w:tcPr>
          <w:p>
            <w:r>
              <w:t>Subtle indigo border glow on hover</w:t>
            </w:r>
          </w:p>
        </w:tc>
      </w:tr>
    </w:tbl>
    <w:p>
      <w:pPr>
        <w:pStyle w:val="Heading1"/>
      </w:pPr>
      <w:r>
        <w:t>6. Data Source Notes</w:t>
      </w:r>
    </w:p>
    <w:p>
      <w:r>
        <w:t>All data in the prototype is mock/hardcoded for demonstration purposes. In production:</w:t>
      </w:r>
    </w:p>
    <w:p>
      <w:pPr>
        <w:pStyle w:val="ListBullet"/>
      </w:pPr>
      <w:r>
        <w:t>Credit utilisation data — Loan Management System (LMS)</w:t>
      </w:r>
    </w:p>
    <w:p>
      <w:pPr>
        <w:pStyle w:val="ListBullet"/>
      </w:pPr>
      <w:r>
        <w:t>Invoice counts and statuses — Invoice Processing Engine</w:t>
      </w:r>
    </w:p>
    <w:p>
      <w:pPr>
        <w:pStyle w:val="ListBullet"/>
      </w:pPr>
      <w:r>
        <w:t>Supplier/Buyer data — KYB/Onboarding module</w:t>
      </w:r>
    </w:p>
    <w:p>
      <w:pPr>
        <w:pStyle w:val="ListBullet"/>
      </w:pPr>
      <w:r>
        <w:t>Pricing/cost data — Pricing Rule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