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3F492" w14:textId="77777777" w:rsidR="00E4645D" w:rsidRDefault="00E4645D"/>
    <w:p w14:paraId="352602F9" w14:textId="77777777" w:rsidR="0049041B" w:rsidRDefault="0049041B" w:rsidP="0049041B"/>
    <w:p w14:paraId="30308925" w14:textId="77777777" w:rsidR="0049041B" w:rsidRPr="0049041B" w:rsidRDefault="0049041B" w:rsidP="0049041B">
      <w:pPr>
        <w:tabs>
          <w:tab w:val="left" w:pos="1780"/>
        </w:tabs>
      </w:pPr>
      <w:r>
        <w:tab/>
      </w:r>
      <w:r w:rsidRPr="0049041B">
        <w:t>Hancock et al. (2024) found that although the maritime human rights sector has seen a rapid expansion in available data and technological tools, this growth has not necessarily translated into greater transparency, fairness, or accountability for affected communities. Instead, their qualitative work with ten domain experts identified several concrete ways that data and technology can introduce or worsen existing risks.</w:t>
      </w:r>
    </w:p>
    <w:p w14:paraId="510A258F" w14:textId="77777777" w:rsidR="0049041B" w:rsidRPr="0049041B" w:rsidRDefault="0049041B" w:rsidP="0049041B">
      <w:pPr>
        <w:tabs>
          <w:tab w:val="left" w:pos="1780"/>
        </w:tabs>
      </w:pPr>
      <w:r w:rsidRPr="0049041B">
        <w:t>First, geographical and technical bias is a major concern. Investigators' pre-existing assumptions about where abuses are likely to occur shape a "hot spot" model of investigation, which can leave blind spots in regions wrongly presumed to be low-risk, while uncritical trust in tool outputs risks reinforcing biases that go unnoticed (Hancock et al., 2024). Second, misinterpretation and loss of context arise because the human expertise needed to correctly interpret structured or algorithmic outputs is often unavailable to remote investigators, making it easy to conflate, for example, routine vessel activity with a genuine emergency. Third, surveillance and data misuse were repeatedly raised: participants worried about eliciting informed consent and about participating in commercial surveillance economies (e.g., purchasing mobile location data), echoing broader critiques of "surveillance capitalism" (Zuboff, 2015) and of the "surveillant gaze" embedded in remote sensing technologies developed for military or border-control purposes (Bennett et al., 2022; Herscher, 2014).</w:t>
      </w:r>
    </w:p>
    <w:p w14:paraId="0D4FC5FB" w14:textId="77777777" w:rsidR="0049041B" w:rsidRPr="0049041B" w:rsidRDefault="0049041B" w:rsidP="0049041B">
      <w:pPr>
        <w:tabs>
          <w:tab w:val="left" w:pos="1780"/>
        </w:tabs>
      </w:pPr>
      <w:r w:rsidRPr="0049041B">
        <w:t>On the second question, tools designed without direct community input tend to reflect what Hancock et al. (2024) describe as "techno-solutionism" — the assumption that technology can resolve social or political problems by reducing them to engineering tasks (Morozov, 2013; Haven &amp; Boyd, 2020). Their case study on maritime abuses illustrates this well: campaigns to mandate Wi-Fi on fishing vessels assumed workers could access it for a minimum number of hours per week, and proposals to apply blockchain to supply chains assumed this alone would reveal exploitation, without addressing the underlying financial, communication, and exploitative structures workers actually face. Such tools risk being detached from lived experience and inaccessible to the populations they are meant to serve — for instance, mobile apps assuming access to advanced smartphones that many fishers do not have.</w:t>
      </w:r>
    </w:p>
    <w:p w14:paraId="486AD84B" w14:textId="77777777" w:rsidR="0049041B" w:rsidRPr="0049041B" w:rsidRDefault="0049041B" w:rsidP="0049041B">
      <w:pPr>
        <w:tabs>
          <w:tab w:val="left" w:pos="1780"/>
        </w:tabs>
      </w:pPr>
      <w:r w:rsidRPr="0049041B">
        <w:t>This dynamic is compounded by a crowded and poorly coordinated market of "tech for good" providers, which duplicates effort while failing to meet user needs, and which further devalues situated, tacit forms of community knowledge in favor of large-scale, "top-down" datafication (Haraway, 1988; Van Dijck, 2014, as cited in Hancock et al., 2024).</w:t>
      </w:r>
    </w:p>
    <w:p w14:paraId="45F8923B" w14:textId="77777777" w:rsidR="0049041B" w:rsidRPr="0049041B" w:rsidRDefault="0049041B" w:rsidP="0049041B">
      <w:pPr>
        <w:tabs>
          <w:tab w:val="left" w:pos="1780"/>
        </w:tabs>
      </w:pPr>
      <w:r w:rsidRPr="0049041B">
        <w:lastRenderedPageBreak/>
        <w:t>To mitigate these risks at the design phase, Hancock et al. (2024) argue for deep, localized engagement that supports affected communities to exercise their own agency rather than prioritizing large-scale monitoring or marketable technical solutions. This aligns with participatory approaches in HCI and Participatory Action Research (McTaggart, n.d.; Bondi et al., 2021), which involve communities as active partners throughout design rather than passive subjects of data collection — ensuring tools reflect actual needs, respect consent, and build local capacity rather than simply extending a remote, technologically-mediated gaze.</w:t>
      </w:r>
    </w:p>
    <w:p w14:paraId="6C0ECB3B" w14:textId="77777777" w:rsidR="0049041B" w:rsidRPr="0049041B" w:rsidRDefault="0049041B" w:rsidP="0049041B">
      <w:pPr>
        <w:tabs>
          <w:tab w:val="left" w:pos="1780"/>
        </w:tabs>
      </w:pPr>
      <w:r w:rsidRPr="0049041B">
        <w:br/>
      </w:r>
    </w:p>
    <w:p w14:paraId="0E97828F" w14:textId="77777777" w:rsidR="0049041B" w:rsidRPr="0049041B" w:rsidRDefault="0049041B" w:rsidP="0049041B">
      <w:pPr>
        <w:tabs>
          <w:tab w:val="left" w:pos="1780"/>
        </w:tabs>
      </w:pPr>
      <w:r w:rsidRPr="0049041B">
        <w:rPr>
          <w:b/>
          <w:bCs/>
        </w:rPr>
        <w:t>References</w:t>
      </w:r>
    </w:p>
    <w:p w14:paraId="65785F9E" w14:textId="77777777" w:rsidR="0049041B" w:rsidRPr="0049041B" w:rsidRDefault="0049041B" w:rsidP="0049041B">
      <w:pPr>
        <w:tabs>
          <w:tab w:val="left" w:pos="1780"/>
        </w:tabs>
      </w:pPr>
      <w:r w:rsidRPr="0049041B">
        <w:t>Bennett, M.M. </w:t>
      </w:r>
      <w:r w:rsidRPr="0049041B">
        <w:rPr>
          <w:i/>
          <w:iCs/>
        </w:rPr>
        <w:t>et al.</w:t>
      </w:r>
      <w:r w:rsidRPr="0049041B">
        <w:t> (2022) 'The politics of pixels: A review and agenda for critical remote sensing', </w:t>
      </w:r>
      <w:r w:rsidRPr="0049041B">
        <w:rPr>
          <w:i/>
          <w:iCs/>
        </w:rPr>
        <w:t>Progress in Human Geography</w:t>
      </w:r>
      <w:r w:rsidRPr="0049041B">
        <w:t>, 46(3), pp. 729–752. Available at: </w:t>
      </w:r>
      <w:hyperlink r:id="rId4" w:history="1">
        <w:r w:rsidRPr="0049041B">
          <w:rPr>
            <w:rStyle w:val="Hyperlink"/>
            <w:b/>
            <w:bCs/>
          </w:rPr>
          <w:t>https://doi.org/10.1177/03091325221074691</w:t>
        </w:r>
      </w:hyperlink>
    </w:p>
    <w:p w14:paraId="55F92F07" w14:textId="77777777" w:rsidR="0049041B" w:rsidRPr="0049041B" w:rsidRDefault="0049041B" w:rsidP="0049041B">
      <w:pPr>
        <w:tabs>
          <w:tab w:val="left" w:pos="1780"/>
        </w:tabs>
      </w:pPr>
      <w:r w:rsidRPr="0049041B">
        <w:t>Bondi, E. </w:t>
      </w:r>
      <w:r w:rsidRPr="0049041B">
        <w:rPr>
          <w:i/>
          <w:iCs/>
        </w:rPr>
        <w:t>et al.</w:t>
      </w:r>
      <w:r w:rsidRPr="0049041B">
        <w:t> (2021) 'Envisioning communities: A participatory approach towards AI for social good', in </w:t>
      </w:r>
      <w:r w:rsidRPr="0049041B">
        <w:rPr>
          <w:i/>
          <w:iCs/>
        </w:rPr>
        <w:t>Proceedings of the 2021 AAAI/ACM Conference on AI, Ethics, and Society</w:t>
      </w:r>
      <w:r w:rsidRPr="0049041B">
        <w:t>, Virtual Event, 19–21 May 2021. New York: Association for Computing Machinery, pp. 425–436. Available at: </w:t>
      </w:r>
      <w:hyperlink r:id="rId5" w:history="1">
        <w:r w:rsidRPr="0049041B">
          <w:rPr>
            <w:rStyle w:val="Hyperlink"/>
            <w:b/>
            <w:bCs/>
          </w:rPr>
          <w:t>https://doi.org/10.1145/3461702.3462612</w:t>
        </w:r>
      </w:hyperlink>
    </w:p>
    <w:p w14:paraId="538DF855" w14:textId="77777777" w:rsidR="0049041B" w:rsidRPr="0049041B" w:rsidRDefault="0049041B" w:rsidP="0049041B">
      <w:pPr>
        <w:tabs>
          <w:tab w:val="left" w:pos="1780"/>
        </w:tabs>
      </w:pPr>
      <w:r w:rsidRPr="0049041B">
        <w:t>Hancock, J. </w:t>
      </w:r>
      <w:r w:rsidRPr="0049041B">
        <w:rPr>
          <w:i/>
          <w:iCs/>
        </w:rPr>
        <w:t>et al.</w:t>
      </w:r>
      <w:r w:rsidRPr="0049041B">
        <w:t> (2024) 'Trouble at Sea: Data and digital technology challenges for maritime human rights concerns', in </w:t>
      </w:r>
      <w:r w:rsidRPr="0049041B">
        <w:rPr>
          <w:i/>
          <w:iCs/>
        </w:rPr>
        <w:t>Proceedings of the 2024 ACM Conference on Fairness, Accountability, and Transparency (</w:t>
      </w:r>
      <w:proofErr w:type="spellStart"/>
      <w:r w:rsidRPr="0049041B">
        <w:rPr>
          <w:i/>
          <w:iCs/>
        </w:rPr>
        <w:t>FAccT</w:t>
      </w:r>
      <w:proofErr w:type="spellEnd"/>
      <w:r w:rsidRPr="0049041B">
        <w:rPr>
          <w:i/>
          <w:iCs/>
        </w:rPr>
        <w:t xml:space="preserve"> '24)</w:t>
      </w:r>
      <w:r w:rsidRPr="0049041B">
        <w:t>, Rio de Janeiro, 3–6 June 2024. New York: Association for Computing Machinery. Available at: </w:t>
      </w:r>
      <w:hyperlink r:id="rId6" w:history="1">
        <w:r w:rsidRPr="0049041B">
          <w:rPr>
            <w:rStyle w:val="Hyperlink"/>
            <w:b/>
            <w:bCs/>
          </w:rPr>
          <w:t>https://doi.org/10.1145/3630106.3658950</w:t>
        </w:r>
      </w:hyperlink>
    </w:p>
    <w:p w14:paraId="087CB816" w14:textId="77777777" w:rsidR="0049041B" w:rsidRPr="0049041B" w:rsidRDefault="0049041B" w:rsidP="0049041B">
      <w:pPr>
        <w:tabs>
          <w:tab w:val="left" w:pos="1780"/>
        </w:tabs>
      </w:pPr>
      <w:r w:rsidRPr="0049041B">
        <w:t>Haraway, D. (1988) 'Situated knowledges: The science question in feminism and the privilege of partial perspective', </w:t>
      </w:r>
      <w:r w:rsidRPr="0049041B">
        <w:rPr>
          <w:i/>
          <w:iCs/>
        </w:rPr>
        <w:t>Feminist Studies</w:t>
      </w:r>
      <w:r w:rsidRPr="0049041B">
        <w:t>, 14(3), pp. 575–599. Available at: </w:t>
      </w:r>
      <w:hyperlink r:id="rId7" w:history="1">
        <w:r w:rsidRPr="0049041B">
          <w:rPr>
            <w:rStyle w:val="Hyperlink"/>
            <w:b/>
            <w:bCs/>
          </w:rPr>
          <w:t>https://doi.org/10.2307/3178066</w:t>
        </w:r>
      </w:hyperlink>
    </w:p>
    <w:p w14:paraId="33AEEA5A" w14:textId="77777777" w:rsidR="0049041B" w:rsidRPr="0049041B" w:rsidRDefault="0049041B" w:rsidP="0049041B">
      <w:pPr>
        <w:tabs>
          <w:tab w:val="left" w:pos="1780"/>
        </w:tabs>
      </w:pPr>
      <w:r w:rsidRPr="0049041B">
        <w:t xml:space="preserve">Haven, J. and </w:t>
      </w:r>
      <w:proofErr w:type="spellStart"/>
      <w:r w:rsidRPr="0049041B">
        <w:t>boyd</w:t>
      </w:r>
      <w:proofErr w:type="spellEnd"/>
      <w:r w:rsidRPr="0049041B">
        <w:t>, d. (2020) </w:t>
      </w:r>
      <w:r w:rsidRPr="0049041B">
        <w:rPr>
          <w:i/>
          <w:iCs/>
        </w:rPr>
        <w:t>Philanthropy's Techno-Solutionism Problem</w:t>
      </w:r>
      <w:r w:rsidRPr="0049041B">
        <w:t>. Miami: The Knight Foundation. Available at: </w:t>
      </w:r>
      <w:hyperlink r:id="rId8" w:history="1">
        <w:r w:rsidRPr="0049041B">
          <w:rPr>
            <w:rStyle w:val="Hyperlink"/>
            <w:b/>
            <w:bCs/>
          </w:rPr>
          <w:t>https://knightfoundation.org/wp-content/uploads/2020/11/KF-Kettering-Philanthropys-Techno-Solution-Problem.pdf</w:t>
        </w:r>
      </w:hyperlink>
      <w:r w:rsidRPr="0049041B">
        <w:t> (Accessed: 28 July 2026).</w:t>
      </w:r>
    </w:p>
    <w:p w14:paraId="586147AD" w14:textId="77777777" w:rsidR="0049041B" w:rsidRPr="0049041B" w:rsidRDefault="0049041B" w:rsidP="0049041B">
      <w:pPr>
        <w:tabs>
          <w:tab w:val="left" w:pos="1780"/>
        </w:tabs>
      </w:pPr>
      <w:r w:rsidRPr="0049041B">
        <w:t>Herscher, A. (2014) 'Surveillant witnessing: Satellite imagery and the visual politics of human rights', </w:t>
      </w:r>
      <w:r w:rsidRPr="0049041B">
        <w:rPr>
          <w:i/>
          <w:iCs/>
        </w:rPr>
        <w:t>Public Culture</w:t>
      </w:r>
      <w:r w:rsidRPr="0049041B">
        <w:t>, 26(3), pp. 469–500. Available at: </w:t>
      </w:r>
      <w:hyperlink r:id="rId9" w:history="1">
        <w:r w:rsidRPr="0049041B">
          <w:rPr>
            <w:rStyle w:val="Hyperlink"/>
            <w:b/>
            <w:bCs/>
          </w:rPr>
          <w:t>https://doi.org/10.1215/08992363-2683639</w:t>
        </w:r>
      </w:hyperlink>
    </w:p>
    <w:p w14:paraId="27078E8B" w14:textId="77777777" w:rsidR="0049041B" w:rsidRPr="0049041B" w:rsidRDefault="0049041B" w:rsidP="0049041B">
      <w:pPr>
        <w:tabs>
          <w:tab w:val="left" w:pos="1780"/>
        </w:tabs>
      </w:pPr>
      <w:r w:rsidRPr="0049041B">
        <w:lastRenderedPageBreak/>
        <w:t>Morozov, E. (2013) </w:t>
      </w:r>
      <w:r w:rsidRPr="0049041B">
        <w:rPr>
          <w:i/>
          <w:iCs/>
        </w:rPr>
        <w:t>To Save Everything, Click Here: The Folly of Technological Solutionism</w:t>
      </w:r>
      <w:r w:rsidRPr="0049041B">
        <w:t>. New York: PublicAffairs.</w:t>
      </w:r>
    </w:p>
    <w:p w14:paraId="67F4240A" w14:textId="77777777" w:rsidR="0049041B" w:rsidRPr="0049041B" w:rsidRDefault="0049041B" w:rsidP="0049041B">
      <w:pPr>
        <w:tabs>
          <w:tab w:val="left" w:pos="1780"/>
        </w:tabs>
      </w:pPr>
      <w:r w:rsidRPr="0049041B">
        <w:t>Zuboff, S. (2015) 'Big other: Surveillance capitalism and the prospects of an information civilization', </w:t>
      </w:r>
      <w:r w:rsidRPr="0049041B">
        <w:rPr>
          <w:i/>
          <w:iCs/>
        </w:rPr>
        <w:t>Journal of Information Technology</w:t>
      </w:r>
      <w:r w:rsidRPr="0049041B">
        <w:t>, 30(1), pp. 75–89. Available at: </w:t>
      </w:r>
      <w:hyperlink r:id="rId10" w:history="1">
        <w:r w:rsidRPr="0049041B">
          <w:rPr>
            <w:rStyle w:val="Hyperlink"/>
            <w:b/>
            <w:bCs/>
          </w:rPr>
          <w:t>https://doi.org/10.1057/jit.2015.5</w:t>
        </w:r>
      </w:hyperlink>
    </w:p>
    <w:p w14:paraId="3671CE32" w14:textId="1C1780A8" w:rsidR="0049041B" w:rsidRPr="0049041B" w:rsidRDefault="0049041B" w:rsidP="0049041B">
      <w:pPr>
        <w:tabs>
          <w:tab w:val="left" w:pos="1780"/>
        </w:tabs>
      </w:pPr>
    </w:p>
    <w:sectPr w:rsidR="0049041B" w:rsidRPr="004904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45D"/>
    <w:rsid w:val="0049041B"/>
    <w:rsid w:val="00546921"/>
    <w:rsid w:val="00E464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F3FE5"/>
  <w15:chartTrackingRefBased/>
  <w15:docId w15:val="{AAB3BB5F-1EE2-4CE9-AFA2-C9A20C2C6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45D"/>
    <w:rPr>
      <w:rFonts w:eastAsiaTheme="majorEastAsia" w:cstheme="majorBidi"/>
      <w:color w:val="272727" w:themeColor="text1" w:themeTint="D8"/>
    </w:rPr>
  </w:style>
  <w:style w:type="paragraph" w:styleId="Title">
    <w:name w:val="Title"/>
    <w:basedOn w:val="Normal"/>
    <w:next w:val="Normal"/>
    <w:link w:val="TitleChar"/>
    <w:uiPriority w:val="10"/>
    <w:qFormat/>
    <w:rsid w:val="00E46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45D"/>
    <w:pPr>
      <w:spacing w:before="160"/>
      <w:jc w:val="center"/>
    </w:pPr>
    <w:rPr>
      <w:i/>
      <w:iCs/>
      <w:color w:val="404040" w:themeColor="text1" w:themeTint="BF"/>
    </w:rPr>
  </w:style>
  <w:style w:type="character" w:customStyle="1" w:styleId="QuoteChar">
    <w:name w:val="Quote Char"/>
    <w:basedOn w:val="DefaultParagraphFont"/>
    <w:link w:val="Quote"/>
    <w:uiPriority w:val="29"/>
    <w:rsid w:val="00E4645D"/>
    <w:rPr>
      <w:i/>
      <w:iCs/>
      <w:color w:val="404040" w:themeColor="text1" w:themeTint="BF"/>
    </w:rPr>
  </w:style>
  <w:style w:type="paragraph" w:styleId="ListParagraph">
    <w:name w:val="List Paragraph"/>
    <w:basedOn w:val="Normal"/>
    <w:uiPriority w:val="34"/>
    <w:qFormat/>
    <w:rsid w:val="00E4645D"/>
    <w:pPr>
      <w:ind w:left="720"/>
      <w:contextualSpacing/>
    </w:pPr>
  </w:style>
  <w:style w:type="character" w:styleId="IntenseEmphasis">
    <w:name w:val="Intense Emphasis"/>
    <w:basedOn w:val="DefaultParagraphFont"/>
    <w:uiPriority w:val="21"/>
    <w:qFormat/>
    <w:rsid w:val="00E4645D"/>
    <w:rPr>
      <w:i/>
      <w:iCs/>
      <w:color w:val="0F4761" w:themeColor="accent1" w:themeShade="BF"/>
    </w:rPr>
  </w:style>
  <w:style w:type="paragraph" w:styleId="IntenseQuote">
    <w:name w:val="Intense Quote"/>
    <w:basedOn w:val="Normal"/>
    <w:next w:val="Normal"/>
    <w:link w:val="IntenseQuoteChar"/>
    <w:uiPriority w:val="30"/>
    <w:qFormat/>
    <w:rsid w:val="00E46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45D"/>
    <w:rPr>
      <w:i/>
      <w:iCs/>
      <w:color w:val="0F4761" w:themeColor="accent1" w:themeShade="BF"/>
    </w:rPr>
  </w:style>
  <w:style w:type="character" w:styleId="IntenseReference">
    <w:name w:val="Intense Reference"/>
    <w:basedOn w:val="DefaultParagraphFont"/>
    <w:uiPriority w:val="32"/>
    <w:qFormat/>
    <w:rsid w:val="00E4645D"/>
    <w:rPr>
      <w:b/>
      <w:bCs/>
      <w:smallCaps/>
      <w:color w:val="0F4761" w:themeColor="accent1" w:themeShade="BF"/>
      <w:spacing w:val="5"/>
    </w:rPr>
  </w:style>
  <w:style w:type="paragraph" w:styleId="NormalWeb">
    <w:name w:val="Normal (Web)"/>
    <w:basedOn w:val="Normal"/>
    <w:uiPriority w:val="99"/>
    <w:semiHidden/>
    <w:unhideWhenUsed/>
    <w:rsid w:val="0049041B"/>
    <w:rPr>
      <w:rFonts w:ascii="Times New Roman" w:hAnsi="Times New Roman" w:cs="Times New Roman"/>
    </w:rPr>
  </w:style>
  <w:style w:type="character" w:styleId="Hyperlink">
    <w:name w:val="Hyperlink"/>
    <w:basedOn w:val="DefaultParagraphFont"/>
    <w:uiPriority w:val="99"/>
    <w:unhideWhenUsed/>
    <w:rsid w:val="0049041B"/>
    <w:rPr>
      <w:color w:val="467886" w:themeColor="hyperlink"/>
      <w:u w:val="single"/>
    </w:rPr>
  </w:style>
  <w:style w:type="character" w:styleId="UnresolvedMention">
    <w:name w:val="Unresolved Mention"/>
    <w:basedOn w:val="DefaultParagraphFont"/>
    <w:uiPriority w:val="99"/>
    <w:semiHidden/>
    <w:unhideWhenUsed/>
    <w:rsid w:val="004904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nightfoundation.org/wp-content/uploads/2020/11/KF-Kettering-Philanthropys-Techno-Solution-Problem.pdf" TargetMode="External"/><Relationship Id="rId3" Type="http://schemas.openxmlformats.org/officeDocument/2006/relationships/webSettings" Target="webSettings.xml"/><Relationship Id="rId7" Type="http://schemas.openxmlformats.org/officeDocument/2006/relationships/hyperlink" Target="https://doi.org/10.2307/3178066"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45/3630106.3658950" TargetMode="External"/><Relationship Id="rId11" Type="http://schemas.openxmlformats.org/officeDocument/2006/relationships/fontTable" Target="fontTable.xml"/><Relationship Id="rId5" Type="http://schemas.openxmlformats.org/officeDocument/2006/relationships/hyperlink" Target="https://doi.org/10.1145/3461702.3462612" TargetMode="External"/><Relationship Id="rId10" Type="http://schemas.openxmlformats.org/officeDocument/2006/relationships/hyperlink" Target="https://doi.org/10.1057/jit.2015.5" TargetMode="External"/><Relationship Id="rId4" Type="http://schemas.openxmlformats.org/officeDocument/2006/relationships/hyperlink" Target="https://doi.org/10.1177/03091325221074691" TargetMode="External"/><Relationship Id="rId9" Type="http://schemas.openxmlformats.org/officeDocument/2006/relationships/hyperlink" Target="https://doi.org/10.1215/08992363-26836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851</Words>
  <Characters>4853</Characters>
  <Application>Microsoft Office Word</Application>
  <DocSecurity>0</DocSecurity>
  <Lines>40</Lines>
  <Paragraphs>11</Paragraphs>
  <ScaleCrop>false</ScaleCrop>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Mohmmed Ali</dc:creator>
  <cp:keywords/>
  <dc:description/>
  <cp:lastModifiedBy>Mohmmed Ahmed, Mohmmed A H A</cp:lastModifiedBy>
  <cp:revision>2</cp:revision>
  <dcterms:created xsi:type="dcterms:W3CDTF">2026-09-12T18:48:00Z</dcterms:created>
  <dcterms:modified xsi:type="dcterms:W3CDTF">2026-09-12T18:49:00Z</dcterms:modified>
</cp:coreProperties>
</file>