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8F9D9" w14:textId="77777777" w:rsidR="002A0489" w:rsidRPr="002A0489" w:rsidRDefault="002A0489" w:rsidP="002A0489">
      <w:r w:rsidRPr="002A0489">
        <w:t>My initial post argued that expanding data and technological capability in maritime human rights work has not produced proportionate gains in transparency or accountability, identifying geographical bias, contextual misinterpretation, surveillance and techno-solutionism as the principal risks (Hancock </w:t>
      </w:r>
      <w:r w:rsidRPr="002A0489">
        <w:rPr>
          <w:i/>
          <w:iCs/>
        </w:rPr>
        <w:t>et al.</w:t>
      </w:r>
      <w:r w:rsidRPr="002A0489">
        <w:t>, 2024). The peer responses and the required readings have refined this into a clearer risk-management position.</w:t>
      </w:r>
    </w:p>
    <w:p w14:paraId="2A55DC70" w14:textId="77777777" w:rsidR="002A0489" w:rsidRPr="002A0489" w:rsidRDefault="002A0489" w:rsidP="002A0489">
      <w:r w:rsidRPr="002A0489">
        <w:t xml:space="preserve">One response argued that where an automated system fails to flag a violation, investigators may infer that no abuse occurred, and that digital evidence should therefore support rather than replace human judgement. Aven and </w:t>
      </w:r>
      <w:proofErr w:type="spellStart"/>
      <w:r w:rsidRPr="002A0489">
        <w:t>Thekdi</w:t>
      </w:r>
      <w:proofErr w:type="spellEnd"/>
      <w:r w:rsidRPr="002A0489">
        <w:t xml:space="preserve"> (2025) explain why this matters: a risk description is conditional on the strength of the knowledge supporting it, so absence of signal is not evidence of low risk. Stoneburner, Goguen and Feringa (2002) add procedural weight, since bias introduced at threat-source identification propagates through every subsequent likelihood and impact determination, while Hubbard (2020) warns that ordinal scoring can then conceal that weakness behind apparent precision.</w:t>
      </w:r>
    </w:p>
    <w:p w14:paraId="3AF69007" w14:textId="77777777" w:rsidR="002A0489" w:rsidRPr="002A0489" w:rsidRDefault="002A0489" w:rsidP="002A0489">
      <w:r w:rsidRPr="002A0489">
        <w:t xml:space="preserve">A second response emphasized co-creative design and stronger informational control for those affected. Renn, Beier and Schweizer (2021) support this, arguing that digitalization risks marked by complexity and ambiguity require participatory rather than purely expert-led governance, and AIRMIC (2010) treats stakeholder engagement as structural to the risk process. Where quantification is attempted, Josey, Hietala and Jones (2014) show that decomposing risk into loss event frequency and loss magnitude improves </w:t>
      </w:r>
      <w:proofErr w:type="spellStart"/>
      <w:r w:rsidRPr="002A0489">
        <w:t>rigour</w:t>
      </w:r>
      <w:proofErr w:type="spellEnd"/>
      <w:r w:rsidRPr="002A0489">
        <w:t>, but only where inputs are sound — a limitation acute for harms such as coercion, which resist measurement.</w:t>
      </w:r>
    </w:p>
    <w:p w14:paraId="20002021" w14:textId="77777777" w:rsidR="002A0489" w:rsidRPr="002A0489" w:rsidRDefault="002A0489" w:rsidP="002A0489">
      <w:r w:rsidRPr="002A0489">
        <w:t>Unit 3 supplied the analytical layer I had underdeveloped. Salter </w:t>
      </w:r>
      <w:r w:rsidRPr="002A0489">
        <w:rPr>
          <w:i/>
          <w:iCs/>
        </w:rPr>
        <w:t>et al.</w:t>
      </w:r>
      <w:r w:rsidRPr="002A0489">
        <w:t xml:space="preserve"> (1998) argue for adversary-centered analysis, while </w:t>
      </w:r>
      <w:proofErr w:type="spellStart"/>
      <w:r w:rsidRPr="002A0489">
        <w:t>Shostack</w:t>
      </w:r>
      <w:proofErr w:type="spellEnd"/>
      <w:r w:rsidRPr="002A0489">
        <w:t> </w:t>
      </w:r>
      <w:r w:rsidRPr="002A0489">
        <w:rPr>
          <w:i/>
          <w:iCs/>
        </w:rPr>
        <w:t>et al.</w:t>
      </w:r>
      <w:r w:rsidRPr="002A0489">
        <w:t> (2020) and Shevchenko </w:t>
      </w:r>
      <w:r w:rsidRPr="002A0489">
        <w:rPr>
          <w:i/>
          <w:iCs/>
        </w:rPr>
        <w:t>et al.</w:t>
      </w:r>
      <w:r w:rsidRPr="002A0489">
        <w:t xml:space="preserve"> (2018) demonstrate how structured methods such as STRIDE and attack trees expose spoofing and disclosure </w:t>
      </w:r>
      <w:proofErr w:type="gramStart"/>
      <w:r w:rsidRPr="002A0489">
        <w:t>harms</w:t>
      </w:r>
      <w:proofErr w:type="gramEnd"/>
      <w:r w:rsidRPr="002A0489">
        <w:t xml:space="preserve"> systematically.</w:t>
      </w:r>
    </w:p>
    <w:p w14:paraId="3FDD65AF" w14:textId="77777777" w:rsidR="002A0489" w:rsidRPr="002A0489" w:rsidRDefault="002A0489" w:rsidP="002A0489">
      <w:r w:rsidRPr="002A0489">
        <w:t>I conclude that participation establishes what should be protected and from whom, while structured modelling determines how.</w:t>
      </w:r>
    </w:p>
    <w:p w14:paraId="2B92C04B" w14:textId="77777777" w:rsidR="002A0489" w:rsidRPr="002A0489" w:rsidRDefault="002A0489" w:rsidP="002A0489">
      <w:r w:rsidRPr="002A0489">
        <w:rPr>
          <w:b/>
          <w:bCs/>
        </w:rPr>
        <w:t>References</w:t>
      </w:r>
    </w:p>
    <w:p w14:paraId="37E7CF4B" w14:textId="77777777" w:rsidR="002A0489" w:rsidRPr="002A0489" w:rsidRDefault="002A0489" w:rsidP="002A0489">
      <w:r w:rsidRPr="002A0489">
        <w:t>AIRMIC (2010) </w:t>
      </w:r>
      <w:r w:rsidRPr="002A0489">
        <w:rPr>
          <w:i/>
          <w:iCs/>
        </w:rPr>
        <w:t>A structured approach to enterprise risk management</w:t>
      </w:r>
      <w:r w:rsidRPr="002A0489">
        <w:t>. London: AIRMIC.</w:t>
      </w:r>
    </w:p>
    <w:p w14:paraId="5308461D" w14:textId="77777777" w:rsidR="002A0489" w:rsidRPr="002A0489" w:rsidRDefault="002A0489" w:rsidP="002A0489">
      <w:r w:rsidRPr="002A0489">
        <w:t xml:space="preserve">Aven, T. and </w:t>
      </w:r>
      <w:proofErr w:type="spellStart"/>
      <w:r w:rsidRPr="002A0489">
        <w:t>Thekdi</w:t>
      </w:r>
      <w:proofErr w:type="spellEnd"/>
      <w:r w:rsidRPr="002A0489">
        <w:t>, S. (2025) </w:t>
      </w:r>
      <w:r w:rsidRPr="002A0489">
        <w:rPr>
          <w:i/>
          <w:iCs/>
        </w:rPr>
        <w:t>Risk Science</w:t>
      </w:r>
      <w:r w:rsidRPr="002A0489">
        <w:t>. London: Routledge.</w:t>
      </w:r>
    </w:p>
    <w:p w14:paraId="7F76A684" w14:textId="77777777" w:rsidR="002A0489" w:rsidRPr="002A0489" w:rsidRDefault="002A0489" w:rsidP="002A0489">
      <w:r w:rsidRPr="002A0489">
        <w:t>Hancock, J. </w:t>
      </w:r>
      <w:r w:rsidRPr="002A0489">
        <w:rPr>
          <w:i/>
          <w:iCs/>
        </w:rPr>
        <w:t>et al.</w:t>
      </w:r>
      <w:r w:rsidRPr="002A0489">
        <w:t> (2024) 'Trouble at Sea: Data and digital technology challenges for maritime human rights concerns', </w:t>
      </w:r>
      <w:r w:rsidRPr="002A0489">
        <w:rPr>
          <w:i/>
          <w:iCs/>
        </w:rPr>
        <w:t>2024 ACM Conference on Fairness, Accountability, and Transparency</w:t>
      </w:r>
      <w:r w:rsidRPr="002A0489">
        <w:t>, Rio de Janeiro, 3-6 June. New York: Association for Computing Machinery, pp. 988-1001. Available at: https://doi.org/10.1145/3630106.3658950</w:t>
      </w:r>
    </w:p>
    <w:p w14:paraId="05DF09F2" w14:textId="77777777" w:rsidR="002A0489" w:rsidRPr="002A0489" w:rsidRDefault="002A0489" w:rsidP="002A0489">
      <w:r w:rsidRPr="002A0489">
        <w:lastRenderedPageBreak/>
        <w:t>Hubbard, D. W. (2020) </w:t>
      </w:r>
      <w:r w:rsidRPr="002A0489">
        <w:rPr>
          <w:i/>
          <w:iCs/>
        </w:rPr>
        <w:t>The Failure of Risk Management: Why It's Broken and How to Fix It</w:t>
      </w:r>
      <w:r w:rsidRPr="002A0489">
        <w:t>. Hoboken: John Wiley and Sons.</w:t>
      </w:r>
    </w:p>
    <w:p w14:paraId="588D4348" w14:textId="77777777" w:rsidR="002A0489" w:rsidRPr="002A0489" w:rsidRDefault="002A0489" w:rsidP="002A0489">
      <w:r w:rsidRPr="002A0489">
        <w:t>Josey, A., Hietala, J. and Jones, J. (2014) </w:t>
      </w:r>
      <w:r w:rsidRPr="002A0489">
        <w:rPr>
          <w:i/>
          <w:iCs/>
        </w:rPr>
        <w:t xml:space="preserve">Introducing </w:t>
      </w:r>
      <w:proofErr w:type="gramStart"/>
      <w:r w:rsidRPr="002A0489">
        <w:rPr>
          <w:i/>
          <w:iCs/>
        </w:rPr>
        <w:t>The</w:t>
      </w:r>
      <w:proofErr w:type="gramEnd"/>
      <w:r w:rsidRPr="002A0489">
        <w:rPr>
          <w:i/>
          <w:iCs/>
        </w:rPr>
        <w:t xml:space="preserve"> Open Group Open FAIR Risk Analysis Tool</w:t>
      </w:r>
      <w:r w:rsidRPr="002A0489">
        <w:t>. Reading: The Open Group.</w:t>
      </w:r>
    </w:p>
    <w:p w14:paraId="3E5B0E1A" w14:textId="77777777" w:rsidR="002A0489" w:rsidRPr="002A0489" w:rsidRDefault="002A0489" w:rsidP="002A0489">
      <w:r w:rsidRPr="002A0489">
        <w:t>Renn, O., Beier, G. and Schweizer, P. J. (2021) 'The opportunities and risks of digitalization for sustainable development: a systemic perspective', </w:t>
      </w:r>
      <w:r w:rsidRPr="002A0489">
        <w:rPr>
          <w:i/>
          <w:iCs/>
        </w:rPr>
        <w:t>GAIA - Ecological Perspectives for Science and Society</w:t>
      </w:r>
      <w:r w:rsidRPr="002A0489">
        <w:t>, 30(1), pp. 23-28.</w:t>
      </w:r>
    </w:p>
    <w:p w14:paraId="4638D955" w14:textId="77777777" w:rsidR="002A0489" w:rsidRPr="002A0489" w:rsidRDefault="002A0489" w:rsidP="002A0489">
      <w:r w:rsidRPr="002A0489">
        <w:t>Salter, C. </w:t>
      </w:r>
      <w:r w:rsidRPr="002A0489">
        <w:rPr>
          <w:i/>
          <w:iCs/>
        </w:rPr>
        <w:t>et al.</w:t>
      </w:r>
      <w:r w:rsidRPr="002A0489">
        <w:t> (1998) </w:t>
      </w:r>
      <w:r w:rsidRPr="002A0489">
        <w:rPr>
          <w:i/>
          <w:iCs/>
        </w:rPr>
        <w:t>Toward a secure system engineering methodology</w:t>
      </w:r>
      <w:r w:rsidRPr="002A0489">
        <w:t>.</w:t>
      </w:r>
    </w:p>
    <w:p w14:paraId="0DF65C36" w14:textId="77777777" w:rsidR="002A0489" w:rsidRPr="002A0489" w:rsidRDefault="002A0489" w:rsidP="002A0489">
      <w:r w:rsidRPr="002A0489">
        <w:t>Shevchenko, N. </w:t>
      </w:r>
      <w:r w:rsidRPr="002A0489">
        <w:rPr>
          <w:i/>
          <w:iCs/>
        </w:rPr>
        <w:t>et al.</w:t>
      </w:r>
      <w:r w:rsidRPr="002A0489">
        <w:t> (2018) </w:t>
      </w:r>
      <w:r w:rsidRPr="002A0489">
        <w:rPr>
          <w:i/>
          <w:iCs/>
        </w:rPr>
        <w:t>Threat Modeling: A Summary of Available Methods</w:t>
      </w:r>
      <w:r w:rsidRPr="002A0489">
        <w:t>. Pittsburgh: Software Engineering Institute, Carnegie Mellon University.</w:t>
      </w:r>
    </w:p>
    <w:p w14:paraId="3F3C3E49" w14:textId="77777777" w:rsidR="002A0489" w:rsidRPr="002A0489" w:rsidRDefault="002A0489" w:rsidP="002A0489">
      <w:proofErr w:type="spellStart"/>
      <w:r w:rsidRPr="002A0489">
        <w:t>Shostack</w:t>
      </w:r>
      <w:proofErr w:type="spellEnd"/>
      <w:r w:rsidRPr="002A0489">
        <w:t>, A. </w:t>
      </w:r>
      <w:r w:rsidRPr="002A0489">
        <w:rPr>
          <w:i/>
          <w:iCs/>
        </w:rPr>
        <w:t>et al.</w:t>
      </w:r>
      <w:r w:rsidRPr="002A0489">
        <w:t> (2020) </w:t>
      </w:r>
      <w:r w:rsidRPr="002A0489">
        <w:rPr>
          <w:i/>
          <w:iCs/>
        </w:rPr>
        <w:t>Threat Modeling Manifesto</w:t>
      </w:r>
      <w:r w:rsidRPr="002A0489">
        <w:t>.</w:t>
      </w:r>
    </w:p>
    <w:p w14:paraId="052E58FB" w14:textId="77777777" w:rsidR="002A0489" w:rsidRPr="002A0489" w:rsidRDefault="002A0489" w:rsidP="002A0489">
      <w:r w:rsidRPr="002A0489">
        <w:t>Stoneburner, G., Goguen, A. and Feringa, A. (2002) </w:t>
      </w:r>
      <w:r w:rsidRPr="002A0489">
        <w:rPr>
          <w:i/>
          <w:iCs/>
        </w:rPr>
        <w:t>Risk Management Guide for Information Technology Systems</w:t>
      </w:r>
      <w:r w:rsidRPr="002A0489">
        <w:t>. SP 800-30. Gaithersburg: National Institute of Standards and Technology</w:t>
      </w:r>
    </w:p>
    <w:p w14:paraId="59AADE9B" w14:textId="77777777" w:rsidR="00817871" w:rsidRDefault="00817871"/>
    <w:sectPr w:rsidR="008178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871"/>
    <w:rsid w:val="002A0489"/>
    <w:rsid w:val="00817871"/>
    <w:rsid w:val="00E876F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99C3D"/>
  <w15:chartTrackingRefBased/>
  <w15:docId w15:val="{E0CA634C-73E1-4529-B571-062F93C28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7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7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871"/>
    <w:rPr>
      <w:rFonts w:eastAsiaTheme="majorEastAsia" w:cstheme="majorBidi"/>
      <w:color w:val="272727" w:themeColor="text1" w:themeTint="D8"/>
    </w:rPr>
  </w:style>
  <w:style w:type="paragraph" w:styleId="Title">
    <w:name w:val="Title"/>
    <w:basedOn w:val="Normal"/>
    <w:next w:val="Normal"/>
    <w:link w:val="TitleChar"/>
    <w:uiPriority w:val="10"/>
    <w:qFormat/>
    <w:rsid w:val="00817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871"/>
    <w:pPr>
      <w:spacing w:before="160"/>
      <w:jc w:val="center"/>
    </w:pPr>
    <w:rPr>
      <w:i/>
      <w:iCs/>
      <w:color w:val="404040" w:themeColor="text1" w:themeTint="BF"/>
    </w:rPr>
  </w:style>
  <w:style w:type="character" w:customStyle="1" w:styleId="QuoteChar">
    <w:name w:val="Quote Char"/>
    <w:basedOn w:val="DefaultParagraphFont"/>
    <w:link w:val="Quote"/>
    <w:uiPriority w:val="29"/>
    <w:rsid w:val="00817871"/>
    <w:rPr>
      <w:i/>
      <w:iCs/>
      <w:color w:val="404040" w:themeColor="text1" w:themeTint="BF"/>
    </w:rPr>
  </w:style>
  <w:style w:type="paragraph" w:styleId="ListParagraph">
    <w:name w:val="List Paragraph"/>
    <w:basedOn w:val="Normal"/>
    <w:uiPriority w:val="34"/>
    <w:qFormat/>
    <w:rsid w:val="00817871"/>
    <w:pPr>
      <w:ind w:left="720"/>
      <w:contextualSpacing/>
    </w:pPr>
  </w:style>
  <w:style w:type="character" w:styleId="IntenseEmphasis">
    <w:name w:val="Intense Emphasis"/>
    <w:basedOn w:val="DefaultParagraphFont"/>
    <w:uiPriority w:val="21"/>
    <w:qFormat/>
    <w:rsid w:val="00817871"/>
    <w:rPr>
      <w:i/>
      <w:iCs/>
      <w:color w:val="0F4761" w:themeColor="accent1" w:themeShade="BF"/>
    </w:rPr>
  </w:style>
  <w:style w:type="paragraph" w:styleId="IntenseQuote">
    <w:name w:val="Intense Quote"/>
    <w:basedOn w:val="Normal"/>
    <w:next w:val="Normal"/>
    <w:link w:val="IntenseQuoteChar"/>
    <w:uiPriority w:val="30"/>
    <w:qFormat/>
    <w:rsid w:val="00817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871"/>
    <w:rPr>
      <w:i/>
      <w:iCs/>
      <w:color w:val="0F4761" w:themeColor="accent1" w:themeShade="BF"/>
    </w:rPr>
  </w:style>
  <w:style w:type="character" w:styleId="IntenseReference">
    <w:name w:val="Intense Reference"/>
    <w:basedOn w:val="DefaultParagraphFont"/>
    <w:uiPriority w:val="32"/>
    <w:qFormat/>
    <w:rsid w:val="008178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533</Words>
  <Characters>3042</Characters>
  <Application>Microsoft Office Word</Application>
  <DocSecurity>0</DocSecurity>
  <Lines>25</Lines>
  <Paragraphs>7</Paragraphs>
  <ScaleCrop>false</ScaleCrop>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Mohmmed Ali</dc:creator>
  <cp:keywords/>
  <dc:description/>
  <cp:lastModifiedBy>Mohmmed Ali</cp:lastModifiedBy>
  <cp:revision>2</cp:revision>
  <dcterms:created xsi:type="dcterms:W3CDTF">2026-09-12T18:53:00Z</dcterms:created>
  <dcterms:modified xsi:type="dcterms:W3CDTF">2026-09-12T18:53:00Z</dcterms:modified>
</cp:coreProperties>
</file>