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Reflective Piece</w:t>
      </w:r>
    </w:p>
    <w:p>
      <w:pPr>
        <w:spacing w:after="60"/>
      </w:pPr>
      <w:r>
        <w:rPr>
          <w:color w:val="444444"/>
        </w:rPr>
        <w:t xml:space="preserve">Security and Risk Management, MSc Cyber Security, University of Essex Online (July 2026)</w:t>
      </w:r>
    </w:p>
    <w:p>
      <w:pPr>
        <w:spacing w:after="60"/>
      </w:pPr>
      <w:r>
        <w:rPr>
          <w:color w:val="444444"/>
        </w:rPr>
        <w:t xml:space="preserve">Mohmmed Ahmed Hamza Ali Mohmmed Ahmed</w:t>
      </w:r>
    </w:p>
    <w:p>
      <w:pPr>
        <w:spacing w:after="60"/>
      </w:pPr>
      <w:r>
        <w:rPr>
          <w:b/>
          <w:bCs/>
        </w:rPr>
        <w:t xml:space="preserve">e-Portfolio: </w:t>
      </w:r>
      <w:hyperlink w:history="1" r:id="rIdgitxrrcazt9hyxz1izoiz">
        <w:r>
          <w:rPr>
            <w:rStyle w:val="Hyperlink"/>
          </w:rPr>
          <w:t xml:space="preserve">https://mohaliessex.github.io/-e-portfolio---Security-and-Risk-Management/</w:t>
        </w:r>
      </w:hyperlink>
    </w:p>
    <w:p>
      <w:pPr>
        <w:spacing w:after="240"/>
      </w:pPr>
      <w:r>
        <w:rPr>
          <w:color w:val="444444"/>
        </w:rPr>
        <w:t xml:space="preserve">Word count: 937 (excluding headings and references). Model: Rolfe, Freshwater and Jasper (2001).</w:t>
      </w:r>
    </w:p>
    <w:p>
      <w:pPr>
        <w:pStyle w:val="Heading1"/>
      </w:pPr>
      <w:r>
        <w:t xml:space="preserve">What?</w:t>
      </w:r>
    </w:p>
    <w:p>
      <w:pPr>
        <w:spacing w:after="160" w:line="300"/>
      </w:pPr>
      <w:r>
        <w:t xml:space="preserve">This module asked me to treat risk as a process rather than a score. Across twelve units I moved from qualitative identification, in two collaborative discussions and the Group 3 risk identification report for Pampered Pets, to quantitative modelling, in the Monte Carlo assessment and disaster recovery design of my Unit 11 executive summary. In the team project I owned the current-state risk assessment and argued for limiting STRIDE to identities, systems and data flows. We recommended phased, reversible digitalisation. By Unit 11 the owner had done the opposite, expanding internationally in one step, and I had to quantify the consequences.</w:t>
      </w:r>
    </w:p>
    <w:p>
      <w:pPr>
        <w:pStyle w:val="Heading1"/>
      </w:pPr>
      <w:r>
        <w:t xml:space="preserve">So what?</w:t>
      </w:r>
    </w:p>
    <w:p>
      <w:pPr>
        <w:spacing w:after="160" w:line="300"/>
      </w:pPr>
      <w:r>
        <w:rPr>
          <w:b/>
          <w:bCs/>
        </w:rPr>
        <w:t xml:space="preserve">The risk management process.</w:t>
      </w:r>
      <w:r>
        <w:t xml:space="preserve"> I came to the module as a practitioner whose daily vocabulary is CVSS scores and likelihood-impact matrices. The module unsettled that. Discussion 2 confronted me with Wunder </w:t>
      </w:r>
      <w:r>
        <w:rPr>
          <w:i/>
          <w:iCs/>
        </w:rPr>
        <w:t xml:space="preserve">et al.</w:t>
      </w:r>
      <w:r>
        <w:t xml:space="preserve">'s (2024) evidence that assessors score the same vulnerability differently, and Cox (2008) showed that ordinal matrices can rank risks incorrectly. My first instinct was to replace one instrument with a better one, so I proposed SSVC (Spring </w:t>
      </w:r>
      <w:r>
        <w:rPr>
          <w:i/>
          <w:iCs/>
        </w:rPr>
        <w:t xml:space="preserve">et al.</w:t>
      </w:r>
      <w:r>
        <w:t xml:space="preserve">, 2019). Kaona's reply, that SSVC's decision trees are only as reliable as their inputs, was uncomfortable because it was correct. I had made the mistake I was criticising: trusting the instrument rather than the knowledge behind it.</w:t>
      </w:r>
    </w:p>
    <w:p>
      <w:pPr>
        <w:spacing w:after="160" w:line="300"/>
      </w:pPr>
      <w:r>
        <w:t xml:space="preserve">Aven and Thekdi's (2025) argument that a risk judgement is conditional on the strength of knowledge became the thread connecting my work. It is why the group report called its ratings provisional, and why my executive summary reported 90% intervals, ran a correlation sensitivity test and concluded that the ranking was more robust than any single percentage. Building the simulation also showed me the limits of quantification. Hubbard (2020) is right that ranges beat ordinal scores, but most of my inputs were still calibrated judgements anchored to surveys skewed towards larger firms. Quantification made my uncertainty visible; it did not remove it.</w:t>
      </w:r>
    </w:p>
    <w:p>
      <w:pPr>
        <w:spacing w:after="160" w:line="300"/>
      </w:pPr>
      <w:r>
        <w:rPr>
          <w:b/>
          <w:bCs/>
        </w:rPr>
        <w:t xml:space="preserve">Legal, ethical and professional issues.</w:t>
      </w:r>
      <w:r>
        <w:t xml:space="preserve"> Two moments reminded me that risk work carries responsibilities beyond technical accuracy. Discussion 1 showed that well-intentioned monitoring tools can harm the communities they serve when consent and context are ignored, a lesson that applies equally to workplace security monitoring. In Unit 11, the brief's reference to a "new GDPR directive" was wrong. Correcting it, and mapping obligations across UK, EU and Monegasque law, showed me that precision about the law is itself a control: a recommendation built on the wrong legal basis fails however good its analysis.</w:t>
      </w:r>
    </w:p>
    <w:p>
      <w:pPr>
        <w:spacing w:after="160" w:line="300"/>
      </w:pPr>
      <w:r>
        <w:rPr>
          <w:b/>
          <w:bCs/>
        </w:rPr>
        <w:t xml:space="preserve">My contribution to the team.</w:t>
      </w:r>
      <w:r>
        <w:t xml:space="preserve"> My peer evaluation records my strengths fairly: practitioner experience, evidence-based claims and meeting internal deadlines. It also records two weaknesses that matter more. My first draft of Section 2 was written for security engineers rather than a non-specialist reader and had to be simplified at review. Seeing my text cut was frustrating at first, but the shorter version was clearer. More significantly, I had reservations about how firmly the recommendation was framed but raised them at review rather than at planning, when they would have been cheaper to act on. I held back because I did not want to reopen a position the group had agreed, and because I was fitting coursework around a full-time role. The cost was rework that a five-minute objection would have avoided.</w:t>
      </w:r>
    </w:p>
    <w:p>
      <w:pPr>
        <w:spacing w:after="160" w:line="300"/>
      </w:pPr>
      <w:r>
        <w:rPr>
          <w:b/>
          <w:bCs/>
        </w:rPr>
        <w:t xml:space="preserve">Working in a development team.</w:t>
      </w:r>
      <w:r>
        <w:t xml:space="preserve"> The team's most useful decision was agreeing the framework, ISO 31000 with a single likelihood-impact scale, before anyone wrote. Four separately written sections could then be compared, and the parts we had not agreed in advance were the parts needing rework. This matches Tuckman's (1965) observation that groups must establish norms before they perform well: we front-loaded the method and paid for the disagreements we deferred. I also learned that integration is work, not an afterthought. Kaona's compiling and word-count control is what stopped the report reading as four separate papers.</w:t>
      </w:r>
    </w:p>
    <w:p>
      <w:pPr>
        <w:spacing w:after="160" w:line="300"/>
      </w:pPr>
      <w:r>
        <w:rPr>
          <w:b/>
          <w:bCs/>
        </w:rPr>
        <w:t xml:space="preserve">Unit 6 against Unit 11.</w:t>
      </w:r>
      <w:r>
        <w:t xml:space="preserve"> Comparing the two documents was humbling. The client ignored our central recommendation, which is realistic: risk advice informs decisions but does not make them. Yet the executive summary built on the earlier work rather than discarding it. The phase-zero controls became model assumptions, the 50% growth claim became the fulfilment-overload stress test, and reversibility returned as the most effective treatment. Good risk work, I realised, should remain useful even when its advice is not taken.</w:t>
      </w:r>
    </w:p>
    <w:p>
      <w:pPr>
        <w:pStyle w:val="Heading1"/>
      </w:pPr>
      <w:r>
        <w:t xml:space="preserve">Now what?</w:t>
      </w:r>
    </w:p>
    <w:p>
      <w:pPr>
        <w:spacing w:after="160" w:line="300"/>
      </w:pPr>
      <w:r>
        <w:t xml:space="preserve">Professionally, the module has changed how I approach vulnerability reporting. I now separate technical severity from organisational priority, treat CVSS as an input rather than a verdict, and state the basis and confidence of each rating. My PDP commits me to piloting an SSVC-style decision tree with documented rationale for critical assets, the governance my Discussion 2 summary concluded was needed. Monte Carlo modelling gives me a way to answer what executives actually ask, how likely and how bad, without hiding behind a heat map.</w:t>
      </w:r>
    </w:p>
    <w:p>
      <w:pPr>
        <w:spacing w:after="160" w:line="300"/>
      </w:pPr>
      <w:r>
        <w:t xml:space="preserve">For teamwork, I will act on three commitments: raise disagreements at planning rather than review; agree the framework, position and word budget per section in the first meeting; and volunteer for integration work rather than only owning a section. For writing, I will draft for the least specialist reader first and add technical depth afterwards.</w:t>
      </w:r>
    </w:p>
    <w:p>
      <w:pPr>
        <w:spacing w:after="160" w:line="300"/>
      </w:pPr>
      <w:r>
        <w:t xml:space="preserve">Personally, the module strengthened my interest in research. The questions I found most engaging, why experts disagree and how to act responsibly when data is thin, are research questions, and they inform my plans for doctoral study. Rolfe, Freshwater and Jasper (2001) present reflection as a route from experience to changed action. The test of this module will be whether my next risk assessment, at work or in study, states what I know, how well I know it, and what would change my mind.</w:t>
      </w:r>
    </w:p>
    <w:p>
      <w:pPr>
        <w:pStyle w:val="Heading1"/>
      </w:pPr>
      <w:r>
        <w:t xml:space="preserve">References</w:t>
      </w:r>
    </w:p>
    <w:p>
      <w:pPr>
        <w:spacing w:after="120"/>
        <w:ind w:left="567" w:hanging="567"/>
      </w:pPr>
      <w:r>
        <w:rPr>
          <w:sz w:val="21"/>
          <w:szCs w:val="21"/>
        </w:rPr>
        <w:t xml:space="preserve">Aven, T. and Thekdi, S. (2025) </w:t>
      </w:r>
      <w:r>
        <w:rPr>
          <w:i/>
          <w:iCs/>
          <w:sz w:val="21"/>
          <w:szCs w:val="21"/>
        </w:rPr>
        <w:t xml:space="preserve">Risk science</w:t>
      </w:r>
      <w:r>
        <w:rPr>
          <w:sz w:val="21"/>
          <w:szCs w:val="21"/>
        </w:rPr>
        <w:t xml:space="preserve">. Abingdon: Routledge.</w:t>
      </w:r>
    </w:p>
    <w:p>
      <w:pPr>
        <w:spacing w:after="120"/>
        <w:ind w:left="567" w:hanging="567"/>
      </w:pPr>
      <w:r>
        <w:rPr>
          <w:sz w:val="21"/>
          <w:szCs w:val="21"/>
        </w:rPr>
        <w:t xml:space="preserve">Cox, L.A. (2008) 'What's wrong with risk matrices?', </w:t>
      </w:r>
      <w:r>
        <w:rPr>
          <w:i/>
          <w:iCs/>
          <w:sz w:val="21"/>
          <w:szCs w:val="21"/>
        </w:rPr>
        <w:t xml:space="preserve">Risk Analysis</w:t>
      </w:r>
      <w:r>
        <w:rPr>
          <w:sz w:val="21"/>
          <w:szCs w:val="21"/>
        </w:rPr>
        <w:t xml:space="preserve">, 28(2), pp. 497–512. Available at: https://doi.org/10.1111/j.1539-6924.2008.01030.x</w:t>
      </w:r>
    </w:p>
    <w:p>
      <w:pPr>
        <w:spacing w:after="120"/>
        <w:ind w:left="567" w:hanging="567"/>
      </w:pPr>
      <w:r>
        <w:rPr>
          <w:sz w:val="21"/>
          <w:szCs w:val="21"/>
        </w:rPr>
        <w:t xml:space="preserve">Hubbard, D.W. (2020) </w:t>
      </w:r>
      <w:r>
        <w:rPr>
          <w:i/>
          <w:iCs/>
          <w:sz w:val="21"/>
          <w:szCs w:val="21"/>
        </w:rPr>
        <w:t xml:space="preserve">The failure of risk management: why it's broken and how to fix it</w:t>
      </w:r>
      <w:r>
        <w:rPr>
          <w:sz w:val="21"/>
          <w:szCs w:val="21"/>
        </w:rPr>
        <w:t xml:space="preserve">. 2nd edn. Hoboken, NJ: Wiley.</w:t>
      </w:r>
    </w:p>
    <w:p>
      <w:pPr>
        <w:spacing w:after="120"/>
        <w:ind w:left="567" w:hanging="567"/>
      </w:pPr>
      <w:r>
        <w:rPr>
          <w:sz w:val="21"/>
          <w:szCs w:val="21"/>
        </w:rPr>
        <w:t xml:space="preserve">Rolfe, G., Freshwater, D. and Jasper, M. (2001) </w:t>
      </w:r>
      <w:r>
        <w:rPr>
          <w:i/>
          <w:iCs/>
          <w:sz w:val="21"/>
          <w:szCs w:val="21"/>
        </w:rPr>
        <w:t xml:space="preserve">Critical reflection for nursing and the helping professions: a user's guide</w:t>
      </w:r>
      <w:r>
        <w:rPr>
          <w:sz w:val="21"/>
          <w:szCs w:val="21"/>
        </w:rPr>
        <w:t xml:space="preserve">. Basingstoke: Palgrave Macmillan.</w:t>
      </w:r>
    </w:p>
    <w:p>
      <w:pPr>
        <w:spacing w:after="120"/>
        <w:ind w:left="567" w:hanging="567"/>
      </w:pPr>
      <w:r>
        <w:rPr>
          <w:sz w:val="21"/>
          <w:szCs w:val="21"/>
        </w:rPr>
        <w:t xml:space="preserve">Spring, J., Hatleback, E., Householder, A.D., Manion, A. and Shick, D. (2019) </w:t>
      </w:r>
      <w:r>
        <w:rPr>
          <w:i/>
          <w:iCs/>
          <w:sz w:val="21"/>
          <w:szCs w:val="21"/>
        </w:rPr>
        <w:t xml:space="preserve">Prioritizing vulnerability response: a stakeholder-specific vulnerability categorization</w:t>
      </w:r>
      <w:r>
        <w:rPr>
          <w:sz w:val="21"/>
          <w:szCs w:val="21"/>
        </w:rPr>
        <w:t xml:space="preserve">. Pittsburgh, PA: Software Engineering Institute, Carnegie Mellon University.</w:t>
      </w:r>
    </w:p>
    <w:p>
      <w:pPr>
        <w:spacing w:after="120"/>
        <w:ind w:left="567" w:hanging="567"/>
      </w:pPr>
      <w:r>
        <w:rPr>
          <w:sz w:val="21"/>
          <w:szCs w:val="21"/>
        </w:rPr>
        <w:t xml:space="preserve">Tuckman, B.W. (1965) 'Developmental sequence in small groups', </w:t>
      </w:r>
      <w:r>
        <w:rPr>
          <w:i/>
          <w:iCs/>
          <w:sz w:val="21"/>
          <w:szCs w:val="21"/>
        </w:rPr>
        <w:t xml:space="preserve">Psychological Bulletin</w:t>
      </w:r>
      <w:r>
        <w:rPr>
          <w:sz w:val="21"/>
          <w:szCs w:val="21"/>
        </w:rPr>
        <w:t xml:space="preserve">, 63(6), pp. 384–399. Available at: https://doi.org/10.1037/h0022100</w:t>
      </w:r>
    </w:p>
    <w:p>
      <w:pPr>
        <w:spacing w:after="120"/>
        <w:ind w:left="567" w:hanging="567"/>
      </w:pPr>
      <w:r>
        <w:rPr>
          <w:sz w:val="21"/>
          <w:szCs w:val="21"/>
        </w:rPr>
        <w:t xml:space="preserve">Wunder, J., Kurtz, A., Eichenmüller, C., Gassmann, F. and Benenson, Z. (2024) 'Shedding light on CVSS scoring inconsistencies: a user-centric study on evaluating widespread security vulnerabilities', </w:t>
      </w:r>
      <w:r>
        <w:rPr>
          <w:i/>
          <w:iCs/>
          <w:sz w:val="21"/>
          <w:szCs w:val="21"/>
        </w:rPr>
        <w:t xml:space="preserve">2024 IEEE Symposium on Security and Privacy</w:t>
      </w:r>
      <w:r>
        <w:rPr>
          <w:sz w:val="21"/>
          <w:szCs w:val="21"/>
        </w:rPr>
        <w:t xml:space="preserve">. San Francisco, CA: IEEE, pp. 1102–1121. Available at: https://doi.org/10.1109/SP54263.2024.00058</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7"/>
        <w:szCs w:val="17"/>
      </w:rPr>
      <w:t xml:space="preserve">e-Portfolio: https://mohaliessex.github.io/-e-portfolio---Security-and-Risk-Management/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E2A36"/>
      <w:sz w:val="40"/>
      <w:szCs w:val="40"/>
    </w:rPr>
  </w:style>
  <w:style w:type="paragraph" w:styleId="Heading1">
    <w:name w:val="Heading 1"/>
    <w:basedOn w:val="Normal"/>
    <w:next w:val="Normal"/>
    <w:qFormat/>
    <w:pPr>
      <w:spacing w:after="120" w:before="280"/>
      <w:outlineLvl w:val="0"/>
    </w:pPr>
    <w:rPr>
      <w:b/>
      <w:bCs/>
      <w:color w:val="3E6A8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gitxrrcazt9hyxz1izoiz" Type="http://schemas.openxmlformats.org/officeDocument/2006/relationships/hyperlink" Target="https://mohaliessex.github.io/-e-portfolio---Security-and-Risk-Management/"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Reflective Piece: Security and Risk Management</dc:title>
  <dc:creator>Mohmmed Ahmed Hamza Ali Mohmmed Ahmed</dc:creator>
  <cp:lastModifiedBy>Un-named</cp:lastModifiedBy>
  <cp:revision>1</cp:revision>
  <dcterms:created xsi:type="dcterms:W3CDTF">2026-10-16T19:41:08.075Z</dcterms:created>
  <dcterms:modified xsi:type="dcterms:W3CDTF">2026-10-16T19:41:08.084Z</dcterms:modified>
</cp:coreProperties>
</file>

<file path=docProps/custom.xml><?xml version="1.0" encoding="utf-8"?>
<Properties xmlns="http://schemas.openxmlformats.org/officeDocument/2006/custom-properties" xmlns:vt="http://schemas.openxmlformats.org/officeDocument/2006/docPropsVTypes"/>
</file>