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/>
        <w:spacing w:before="0" w:after="40" w:line="276" w:lineRule="auto"/>
        <w:jc w:val="center"/>
      </w:pPr>
      <w:r>
        <w:rPr>
          <w:rFonts w:ascii="Calibri" w:eastAsia="Calibri" w:hAnsi="Calibri" w:cs="Arial"/>
          <w:b/>
          <w:bCs/>
          <w:color w:val="14532D"/>
          <w:sz w:val="40"/>
          <w:szCs w:val="40"/>
          <w:rtl/>
        </w:rPr>
        <w:t xml:space="preserve">الباريم (سلّم التصحيح)</w:t>
      </w:r>
    </w:p>
    <w:p>
      <w:pPr>
        <w:bidi/>
        <w:spacing w:before="0" w:after="120" w:line="276" w:lineRule="auto"/>
        <w:jc w:val="center"/>
      </w:pPr>
      <w:r>
        <w:rPr>
          <w:rFonts w:ascii="Calibri" w:eastAsia="Calibri" w:hAnsi="Calibri" w:cs="Arial"/>
          <w:b/>
          <w:bCs/>
          <w:color w:val="6B6B6B"/>
          <w:sz w:val="26"/>
          <w:szCs w:val="26"/>
          <w:rtl/>
        </w:rPr>
        <w:t xml:space="preserve">الصف: </w:t>
      </w:r>
      <w:r>
        <w:rPr>
          <w:rFonts w:ascii="Cambria Math" w:hAnsi="Cambria Math" w:cs="Cambria Math"/>
          <w:b/>
          <w:color w:val="6B6B6B"/>
          <w:sz w:val="26"/>
          <w:szCs w:val="26"/>
        </w:rPr>
        <w:t xml:space="preserve">BT2</w:t>
      </w:r>
      <w:r>
        <w:rPr>
          <w:rFonts w:ascii="Calibri" w:eastAsia="Calibri" w:hAnsi="Calibri" w:cs="Arial"/>
          <w:b/>
          <w:bCs/>
          <w:color w:val="6B6B6B"/>
          <w:sz w:val="26"/>
          <w:szCs w:val="26"/>
          <w:rtl/>
        </w:rPr>
        <w:t xml:space="preserve">   |   الرياضيات   |   المجموع: 20 علامة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الأول: تنطيق المقام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علامتان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A = 6√3 / 3 = 2√3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</w:t>
            </w:r>
          </w:p>
        </w:tc>
        <w:tc>
          <w:tcPr>
            <w:tcW w:w="6940" w:type="dxa"/>
            <w:vAlign w:val="center"/>
          </w:tcPr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نضرب البسط والمقام بالمرافق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(√7 + √2)</m:t>
              </m:r>
            </m:oMath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B = 5(√7 + √2) / (7 − 2) = √7 + √2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0.5 + 0.5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الثاني: المتطابقات الشهيرة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(2x − 3)² = 4x² − 12x + 9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9x² − 12x + 4 = (3x − 2)²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ج)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25x² − 16 = (5x − 4)(5x + 4)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الثالث: تحليل عبارات من الدرجة الثانية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 P(x)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Δ = 25 − 24 = 1   ;   x₁ = 2 , x₂ = 3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P(x) = (x − 2)(x − 3)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0.75 + 0.75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 Q(x)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Δ = 1 + 24 = 25   ;   x₁ = 1 , x₂ = −3/2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Q(x) = 2(x − 1)(x + 3/2) = (x − 1)(2x + 3)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0.75 + 0.75</w:t>
            </w:r>
          </w:p>
        </w:tc>
      </w:tr>
    </w:tbl>
    <w:p>
      <w:pPr>
        <w:keepNext/>
        <w:bidi/>
        <w:spacing w:before="0" w:after="80" w:line="276" w:lineRule="auto"/>
      </w:pPr>
      <w:r>
        <w:rPr>
          <w:rFonts w:ascii="Calibri" w:eastAsia="Calibri" w:hAnsi="Calibri" w:cs="Arial"/>
          <w:i/>
          <w:iCs/>
          <w:color w:val="1F4E79"/>
          <w:sz w:val="24"/>
          <w:szCs w:val="24"/>
          <w:rtl/>
        </w:rPr>
        <w:t xml:space="preserve">تُقبل أي طريقة صحيحة (المميّز Δ، أو المجموع والجداء، أو التجميع) وتُعطى العلامة كاملة.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الرابع: المتراجحات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علامتان</w:t>
      </w:r>
    </w:p>
    <w:p>
      <w:pPr>
        <w:keepNext/>
        <w:bidi/>
        <w:spacing w:before="120" w:after="60" w:line="276" w:lineRule="auto"/>
      </w:pPr>
      <m:oMath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− 5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+ 6 ≤ 0  ⇔  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− 2)(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− 3) ≤ 0</m:t>
        </m:r>
      </m:oMath>
    </w:p>
    <w:tbl>
      <w:tblPr>
        <w:tblW w:w="1038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5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x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−∞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2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3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+∞</w:t>
            </w:r>
          </w:p>
        </w:tc>
      </w:tr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x − 2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|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</w:tr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x − 3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|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</w:tr>
      <w:tr>
        <w:trPr>
          <w:cantSplit/>
          <w:trHeight w:val="46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P(x)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−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0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+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/>
            </w:r>
          </w:p>
        </w:tc>
      </w:tr>
    </w:tbl>
    <w:p>
      <w:pPr>
        <w:bidi/>
        <w:spacing w:before="120" w:after="60" w:line="276" w:lineRule="auto"/>
      </w:pPr>
      <w:r>
        <w:rPr>
          <w:rFonts w:ascii="Calibri" w:eastAsia="Calibri" w:hAnsi="Calibri" w:cs="Arial"/>
          <w:b/>
          <w:bCs/>
          <w:color w:val="1A1A1A"/>
          <w:sz w:val="28"/>
          <w:szCs w:val="28"/>
          <w:rtl/>
        </w:rPr>
        <w:t xml:space="preserve">مجموعة الحلول:  </w:t>
      </w:r>
      <w:r>
        <w:rPr>
          <w:rFonts w:ascii="Cambria Math" w:hAnsi="Cambria Math" w:cs="Cambria Math"/>
          <w:b/>
          <w:color w:val="1A1A1A"/>
          <w:sz w:val="28"/>
          <w:szCs w:val="28"/>
        </w:rPr>
        <w:t xml:space="preserve">S = [2 ; 3]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(الدراسة 1.5 + S 0.5)</w:t>
      </w: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Arial"/>
          <w:i/>
          <w:iCs/>
          <w:color w:val="1F4E79"/>
          <w:sz w:val="24"/>
          <w:szCs w:val="24"/>
          <w:rtl/>
        </w:rPr>
        <w:t xml:space="preserve">يُقبل جدول الإشارات أو أي طريقة صحيحة أخرى.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الخامس: اختر مجموعة الحلول الصحيحة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1 – 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]2 ; +∞[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2 – ب)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]−3 ; 3[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3 – ج)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ℝ − ]−2 ; 2[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= ]−∞ ; −2] ∪ [2 ; +∞[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السادس: المجموعات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4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أ)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A ∩ B = {2, 4, 6}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ب)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A ∪ B = {1, 2, 3, 4, 6, 8, 10}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ج)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Ā = {5, 7, 8, 9, 10}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د)</w:t>
            </w:r>
          </w:p>
        </w:tc>
        <w:tc>
          <w:tcPr>
            <w:tcW w:w="6940" w:type="dxa"/>
            <w:vAlign w:val="center"/>
          </w:tcPr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B̄ = {1, 3, 5, 7, 9}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Ā ∩ B̄ = {5, 7, 9}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180" w:after="10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السابع: نظام معادلتين من الدرجة الأولى بمجهولين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700"/>
        <w:gridCol w:w="6940"/>
        <w:gridCol w:w="1800"/>
      </w:tblGrid>
      <w:tr>
        <w:trPr>
          <w:cantSplit/>
          <w:trHeight w:val="420"/>
          <w:tblHeader/>
        </w:trPr>
        <w:tc>
          <w:tcPr>
            <w:tcW w:w="17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البند</w:t>
            </w:r>
          </w:p>
        </w:tc>
        <w:tc>
          <w:tcPr>
            <w:tcW w:w="69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الإجابة</w:t>
            </w:r>
          </w:p>
        </w:tc>
        <w:tc>
          <w:tcPr>
            <w:tcW w:w="18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440"/>
        </w:trPr>
        <w:tc>
          <w:tcPr>
            <w:tcW w:w="17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الحل</w:t>
            </w:r>
          </w:p>
        </w:tc>
        <w:tc>
          <w:tcPr>
            <w:tcW w:w="6940" w:type="dxa"/>
            <w:vAlign w:val="center"/>
          </w:tcPr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بجمع المعادلتين: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3x = 9  ⇒  x = 3</w:t>
            </w:r>
          </w:p>
          <w:p>
            <w:pPr>
              <w:bidi/>
              <w:spacing w:before="0" w:after="20" w:line="276" w:lineRule="auto"/>
            </w:pPr>
            <w:r>
              <w:rPr>
                <w:rFonts w:ascii="Calibri" w:eastAsia="Calibri" w:hAnsi="Calibri" w:cs="Arial"/>
                <w:color w:val="1A1A1A"/>
                <w:sz w:val="26"/>
                <w:szCs w:val="26"/>
                <w:rtl/>
              </w:rPr>
              <w:t xml:space="preserve">بالتعويض في المعادلة الثانية: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3 − y = 2  ⇒  y = 1</w:t>
            </w:r>
          </w:p>
          <w:p>
            <w:pPr>
              <w:bidi w:val="0"/>
              <w:spacing w:before="0" w:after="20" w:line="276" w:lineRule="auto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(x ; y) = (3 ; 1)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B8860B"/>
                <w:sz w:val="26"/>
                <w:szCs w:val="26"/>
              </w:rPr>
              <w:t xml:space="preserve">1 + 1 + 1</w:t>
            </w:r>
          </w:p>
        </w:tc>
      </w:tr>
    </w:tbl>
    <w:p>
      <w:pPr>
        <w:bidi/>
        <w:spacing w:before="0" w:after="0" w:line="240" w:lineRule="exact"/>
      </w:pP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040"/>
        <w:gridCol w:w="2400"/>
      </w:tblGrid>
      <w:tr>
        <w:trPr>
          <w:cantSplit/>
          <w:trHeight w:val="560"/>
        </w:trPr>
        <w:tc>
          <w:tcPr>
            <w:tcW w:w="80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30"/>
                <w:szCs w:val="30"/>
                <w:rtl/>
              </w:rPr>
              <w:t xml:space="preserve">المجموع</w:t>
            </w:r>
          </w:p>
        </w:tc>
        <w:tc>
          <w:tcPr>
            <w:tcW w:w="24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20 / 20</w:t>
            </w:r>
          </w:p>
        </w:tc>
      </w:tr>
    </w:tbl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Arial"/>
        <w:color w:val="6B6B6B"/>
        <w:sz w:val="20"/>
        <w:szCs w:val="20"/>
        <w:rtl/>
      </w:rPr>
      <w:t xml:space="preserve">الباريم – BT2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Arial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