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/>
        <w:spacing w:before="0" w:after="4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40"/>
          <w:szCs w:val="40"/>
          <w:rtl/>
        </w:rPr>
        <w:t xml:space="preserve">الباريم (سلّم التصحيح)</w:t>
      </w:r>
    </w:p>
    <w:p>
      <w:pPr>
        <w:bidi/>
        <w:spacing w:before="0" w:after="120" w:line="276" w:lineRule="auto"/>
        <w:jc w:val="center"/>
      </w:pP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الصف: </w:t>
      </w:r>
      <w:r>
        <w:rPr>
          <w:rFonts w:ascii="Cambria Math" w:hAnsi="Cambria Math" w:cs="Cambria Math"/>
          <w:b/>
          <w:color w:val="6B6B6B"/>
          <w:sz w:val="26"/>
          <w:szCs w:val="26"/>
        </w:rPr>
        <w:t xml:space="preserve">BT2</w:t>
      </w: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   |   الرياضيات   |   المجموع: 20 علامة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= 6√3 / 3 = 2√3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نضرب البسط والمقام بالمرافق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(√7 + √2)</m:t>
              </m:r>
            </m:oMath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 = 5(√7 + √2) / (7 − 2) = √7 + √2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 + 0.5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(2x − 3)² = 4x² − 12x + 9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9x² − 12x + 4 = (3x − 2)²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25x² − 16 = (5x − 4)(5x + 4)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 P(x)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25 − 24 = 1   ;   x₁ = 2 , x₂ = 3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 = (x − 2)(x − 3)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 + 0.75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Q(x)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1 + 24 = 25   ;   x₁ = 1 , x₂ = −3/2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Q(x) = 2(x − 1)(x + 3/2) = (x − 1)(2x + 3)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 + 0.75</w:t>
            </w:r>
          </w:p>
        </w:tc>
      </w:tr>
    </w:tbl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تُقبل أي طريقة صحيحة (المميّز Δ، أو المجموع والجداء، أو التجميع) وتُعطى العلامة كاملة.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الرابع: المتراجحات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p>
      <w:pPr>
        <w:keepNext/>
        <w:bidi/>
        <w:spacing w:before="120" w:after="60" w:line="276" w:lineRule="auto"/>
      </w:pP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 ≤ 0  ⇔  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− 2)(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− 3) ≤ 0</m:t>
        </m:r>
      </m:oMath>
    </w:p>
    <w:tbl>
      <w:tblPr>
        <w:tblW w:w="1038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5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−∞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+∞</w:t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− 2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− 3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</w:tbl>
    <w:p>
      <w:pPr>
        <w:bidi/>
        <w:spacing w:before="120" w:after="60" w:line="276" w:lineRule="auto"/>
      </w:pPr>
      <w:r>
        <w:rPr>
          <w:rFonts w:ascii="Calibri" w:eastAsia="Calibri" w:hAnsi="Calibri" w:cs="Arial"/>
          <w:b/>
          <w:bCs/>
          <w:color w:val="1A1A1A"/>
          <w:sz w:val="28"/>
          <w:szCs w:val="28"/>
          <w:rtl/>
        </w:rPr>
        <w:t xml:space="preserve">مجموعة الحلول:  </w:t>
      </w:r>
      <w:r>
        <w:rPr>
          <w:rFonts w:ascii="Cambria Math" w:hAnsi="Cambria Math" w:cs="Cambria Math"/>
          <w:b/>
          <w:color w:val="1A1A1A"/>
          <w:sz w:val="28"/>
          <w:szCs w:val="28"/>
        </w:rPr>
        <w:t xml:space="preserve">S = [2 ; 3]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(الدراسة 1.5 + S 0.5)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يُقبل جدول الإشارات أو أي طريقة صحيحة أخرى.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الخامس: اختر مجموعة الحلول الصحيحة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1 – 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]2 ; +∞[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2 – 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]−3 ; 3[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3 – 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−2] ∪ [2 ; +∞[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السادس: المجموعات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4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∩ B = {2, 4, 6}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∪ B = {1, 2, 3, 4, 6, 8,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= {5, 7, 8, 9,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د)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B̄ = {1, 3, 5, 7, 9}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∩ B̄ = {5, 7, 9}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السابع: نظام معادلتين من الدرجة الأولى بمجهولين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الحل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بجمع المعادلتين: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3x = 9  ⇒  x = 3</w:t>
            </w:r>
          </w:p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بالتعويض في المعادلة الثانية: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3 − y = 2  ⇒  y = 1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(x ; y) = (3 ; 1)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 + 1 + 1</w:t>
            </w:r>
          </w:p>
        </w:tc>
      </w:tr>
    </w:tbl>
    <w:p>
      <w:pPr>
        <w:bidi/>
        <w:spacing w:before="0" w:after="0" w:line="24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040"/>
        <w:gridCol w:w="2400"/>
      </w:tblGrid>
      <w:tr>
        <w:trPr>
          <w:cantSplit/>
          <w:trHeight w:val="560"/>
        </w:trPr>
        <w:tc>
          <w:tcPr>
            <w:tcW w:w="80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المجموع</w:t>
            </w:r>
          </w:p>
        </w:tc>
        <w:tc>
          <w:tcPr>
            <w:tcW w:w="24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20 / 20</w:t>
            </w:r>
          </w:p>
        </w:tc>
      </w:tr>
    </w:tbl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الباريم – BT2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