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500"/>
      </w:pPr>
    </w:p>
    <w:tbl>
      <w:tblPr>
        <w:bidiVisual/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070"/>
      </w:tblGrid>
      <w:tr>
        <w:tc>
          <w:tcPr>
            <w:tcW w:type="dxa" w:w="9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300" w:line="240" w:lineRule="auto"/>
              <w:jc w:val="center"/>
            </w:pPr>
            <w:r>
              <w:drawing>
                <wp:inline distT="0" distB="0" distL="0" distR="0">
                  <wp:extent cx="1362075" cy="1143000"/>
                  <wp:effectExtent t="0" r="0" b="0" l="0"/>
                  <wp:docPr id="1" name="logo" descr="شعار Random.MEd" title="Random.M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62075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120" w:before="0" w:line="320" w:lineRule="auto"/>
              <w:jc w:val="center"/>
            </w:pPr>
            <w:bookmarkStart w:name="_Gs2" w:id="1"/>
            <w:bookmarkEnd w:id="1"/>
            <w:r>
              <w:rPr>
                <w:rFonts w:ascii="Times New Roman" w:cs="Simplified Arabic" w:eastAsia="Simplified Arabic" w:hAnsi="Times New Roman"/>
                <w:b/>
                <w:bCs/>
                <w:color w:val="141B2E"/>
                <w:sz w:val="52"/>
                <w:szCs w:val="52"/>
                <w:rtl/>
                <w:lang w:val="ar-SA" w:bidi="ar-SA"/>
              </w:rPr>
              <w:t xml:space="preserve">مبادئ الطب الشرعي والقضائي</w:t>
            </w:r>
          </w:p>
          <w:p>
            <w:pPr>
              <w:pBdr>
                <w:bottom w:val="thick" w:color="A9761E" w:sz="24" w:space="1"/>
              </w:pBdr>
              <w:bidi/>
              <w:spacing w:after="220" w:before="60"/>
              <w:ind w:start="2200" w:end="2200" w:left="2200" w:right="2200"/>
            </w:pPr>
          </w:p>
          <w:p>
            <w:pPr>
              <w:bidi/>
              <w:spacing w:after="200" w:before="0" w:line="360" w:lineRule="auto"/>
              <w:jc w:val="center"/>
            </w:pPr>
            <w:r>
              <w:rPr>
                <w:rFonts w:ascii="Times New Roman" w:cs="Simplified Arabic" w:eastAsia="Simplified Arabic" w:hAnsi="Times New Roman"/>
                <w:color w:val="262626"/>
                <w:sz w:val="30"/>
                <w:szCs w:val="30"/>
                <w:rtl/>
                <w:lang w:val="ar-SA" w:bidi="ar-SA"/>
              </w:rPr>
              <w:t xml:space="preserve">التفريغ النصي الأكاديمي الشامل للمحاضرات</w:t>
            </w:r>
          </w:p>
          <w:p>
            <w:pPr>
              <w:spacing w:after="0" w:before="0" w:line="20" w:lineRule="exact"/>
            </w:pPr>
            <w:bookmarkStart w:name="_Ge2" w:id="2"/>
            <w:bookmarkEnd w:id="2"/>
          </w:p>
        </w:tc>
      </w:tr>
    </w:tbl>
    <w:p>
      <w:pPr>
        <w:spacing w:after="0" w:before="0" w:line="20" w:lineRule="exact"/>
      </w:pPr>
    </w:p>
    <w:tbl>
      <w:tblPr>
        <w:bidiVisual/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070"/>
      </w:tblGrid>
      <w:tr>
        <w:tc>
          <w:tcPr>
            <w:tcW w:type="dxa" w:w="9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0" w:before="200"/>
              <w:jc w:val="center"/>
            </w:pPr>
            <w:bookmarkStart w:name="_Gs1" w:id="3"/>
            <w:bookmarkEnd w:id="3"/>
            <w:r>
              <w:rPr>
                <w:rFonts w:ascii="Times New Roman" w:cs="Simplified Arabic" w:eastAsia="Simplified Arabic" w:hAnsi="Times New Roman"/>
                <w:color w:val="404040"/>
                <w:sz w:val="24"/>
                <w:szCs w:val="24"/>
                <w:rtl/>
                <w:lang w:val="ar-SA" w:bidi="ar-SA"/>
              </w:rPr>
              <w:t xml:space="preserve">عدد المحاضرات: </w:t>
            </w:r>
            <w:r>
              <w:rPr>
                <w:rFonts w:ascii="Times New Roman" w:cs="Times New Roman" w:eastAsia="Times New Roman" w:hAnsi="Times New Roman"/>
                <w:color w:val="404040"/>
                <w:sz w:val="24"/>
                <w:szCs w:val="24"/>
                <w:rtl w:val="false"/>
                <w:lang w:val="en-US" w:bidi="ar-SA"/>
              </w:rPr>
              <w:t xml:space="preserve">1</w:t>
            </w:r>
            <w:bookmarkStart w:name="_Ge1" w:id="4"/>
            <w:bookmarkEnd w:id="4"/>
          </w:p>
        </w:tc>
      </w:tr>
    </w:tbl>
    <w:p>
      <w:pPr>
        <w:spacing w:after="0" w:before="0" w:line="20" w:lineRule="exact"/>
      </w:pPr>
    </w:p>
    <w:p>
      <w:pPr>
        <w:sectPr>
          <w:headerReference w:type="default" r:id="rId7"/>
          <w:footerReference w:type="default" r:id="rId8"/>
          <w:pgSz w:w="11906" w:h="16838" w:orient="portrait"/>
          <w:pgMar w:top="1418" w:right="1418" w:bottom="1418" w:left="1418" w:header="709" w:footer="709" w:gutter="0"/>
          <w:pgNumType/>
          <w:bidi/>
          <w:docGrid w:linePitch="360"/>
        </w:sectPr>
      </w:pPr>
    </w:p>
    <w:p>
      <w:pPr>
        <w:pBdr>
          <w:top w:val="single" w:color="141B2E" w:sz="6" w:space="4"/>
          <w:bottom w:val="single" w:color="141B2E" w:sz="6" w:space="4"/>
          <w:left w:val="single" w:color="141B2E" w:sz="6" w:space="4"/>
          <w:right w:val="single" w:color="141B2E" w:sz="6" w:space="4"/>
        </w:pBdr>
        <w:shd w:fill="141B2E" w:color="auto" w:val="clear"/>
        <w:bidi/>
        <w:spacing w:after="200" w:before="0" w:line="300" w:lineRule="auto"/>
        <w:jc w:val="center"/>
      </w:pPr>
      <w:bookmarkStart w:name="_Gs3" w:id="5"/>
      <w:bookmarkEnd w:id="5"/>
      <w:r>
        <w:rPr>
          <w:rFonts w:ascii="Times New Roman" w:cs="Simplified Arabic" w:eastAsia="Simplified Arabic" w:hAnsi="Times New Roman"/>
          <w:b/>
          <w:bCs/>
          <w:color w:val="FFFFFF"/>
          <w:sz w:val="32"/>
          <w:szCs w:val="32"/>
          <w:rtl/>
          <w:lang w:val="ar-SA" w:bidi="ar-SA"/>
        </w:rPr>
        <w:t xml:space="preserve">فهرس المحاضرات ومحاورها</w:t>
      </w:r>
    </w:p>
    <w:tbl>
      <w:tblPr>
        <w:bidiVisual/>
        <w:tblW w:type="dxa" w:w="9070"/>
        <w:tblBorders>
          <w:top w:val="single" w:color="D9C49A" w:sz="6"/>
          <w:left w:val="single" w:color="D9C49A" w:sz="6"/>
          <w:bottom w:val="single" w:color="D9C49A" w:sz="6"/>
          <w:right w:val="single" w:color="D9C49A" w:sz="6"/>
          <w:insideH w:val="single" w:color="D9C49A" w:sz="4"/>
          <w:insideV w:val="single" w:color="D9C49A" w:sz="4"/>
        </w:tblBorders>
        <w:tblLayout w:type="fixed"/>
      </w:tblPr>
      <w:tblGrid>
        <w:gridCol w:w="2300"/>
        <w:gridCol w:w="6770"/>
      </w:tblGrid>
      <w:tr>
        <w:trPr>
          <w:cantSplit/>
          <w:tblHeader/>
        </w:trPr>
        <w:tc>
          <w:tcPr>
            <w:tcW w:type="dxa" w:w="2300"/>
            <w:shd w:fill="141B2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4"/>
                <w:szCs w:val="24"/>
                <w:rtl/>
                <w:lang w:val="ar-SA" w:bidi="ar-SA"/>
              </w:rPr>
              <w:t xml:space="preserve">المحاضرة</w:t>
            </w:r>
          </w:p>
        </w:tc>
        <w:tc>
          <w:tcPr>
            <w:tcW w:type="dxa" w:w="6770"/>
            <w:shd w:fill="141B2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4"/>
                <w:szCs w:val="24"/>
                <w:rtl/>
                <w:lang w:val="ar-SA" w:bidi="ar-SA"/>
              </w:rPr>
              <w:t xml:space="preserve">المحاور الرئيسية</w:t>
            </w:r>
          </w:p>
        </w:tc>
      </w:tr>
      <w:tr>
        <w:trPr>
          <w:cantSplit/>
        </w:trPr>
        <w:tc>
          <w:tcPr>
            <w:tcW w:type="dxa" w:w="2300"/>
            <w:shd w:fill="F6EED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3"/>
                <w:szCs w:val="23"/>
                <w:rtl/>
                <w:lang w:val="ar-SA" w:bidi="ar-SA"/>
              </w:rPr>
              <w:t xml:space="preserve">المحاضرة الرابعة</w:t>
            </w:r>
          </w:p>
        </w:tc>
        <w:tc>
          <w:tcPr>
            <w:tcW w:type="dxa" w:w="677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bidi/>
              <w:spacing w:after="20" w:before="0" w:line="276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أولاً: التمييز الطبي الشرعي بين الموت الدماغي والحالات الأخرى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20" w:before="0" w:line="276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ثانياً: الموت المفاجئ غير المتوقع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rtl w:val="false"/>
                <w:lang w:val="en-US" w:bidi="ar-SA"/>
              </w:rPr>
              <w:t xml:space="preserve">(Sudden Unexpected Death)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20" w:before="0" w:line="276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ثالثاً: أسباب الموت المفاجئ (المنظومة القلبية الوعائية)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20" w:before="0" w:line="276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رابعاً: أمراض الشرايين الإكليلية المسببة للموت المفاجئ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20" w:before="0" w:line="276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خامساً: أمراض واعتلالات العضلة القلبية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rtl w:val="false"/>
                <w:lang w:val="en-US" w:bidi="ar-SA"/>
              </w:rPr>
              <w:t xml:space="preserve">(Cardiomyopathies)</w:t>
            </w:r>
          </w:p>
        </w:tc>
      </w:tr>
    </w:tbl>
    <w:p>
      <w:pPr>
        <w:spacing w:after="0" w:before="0" w:line="20" w:lineRule="exact"/>
      </w:pPr>
      <w:bookmarkStart w:name="_Ge3" w:id="6"/>
      <w:bookmarkEnd w:id="6"/>
    </w:p>
    <w:p>
      <w:pPr>
        <w:sectPr>
          <w:headerReference w:type="default" r:id="rId9"/>
          <w:footerReference w:type="default" r:id="rId10"/>
          <w:pgSz w:w="11906" w:h="16838" w:orient="portrait"/>
          <w:pgMar w:top="1418" w:right="1418" w:bottom="1418" w:left="1418" w:header="709" w:footer="709" w:gutter="0"/>
          <w:pgNumType/>
          <w:bidi/>
          <w:docGrid w:linePitch="360"/>
        </w:sectPr>
      </w:pPr>
    </w:p>
    <w:p>
      <w:pPr>
        <w:pStyle w:val="Heading1"/>
        <w:keepNext/>
        <w:pBdr>
          <w:top w:val="single" w:color="141B2E" w:sz="6" w:space="6"/>
          <w:bottom w:val="single" w:color="141B2E" w:sz="6" w:space="6"/>
          <w:left w:val="single" w:color="141B2E" w:sz="6" w:space="6"/>
          <w:right w:val="single" w:color="141B2E" w:sz="6" w:space="6"/>
        </w:pBdr>
        <w:shd w:fill="141B2E" w:color="auto" w:val="clear"/>
        <w:bidi/>
        <w:spacing w:after="200" w:before="0" w:line="320" w:lineRule="auto"/>
        <w:jc w:val="center"/>
      </w:pPr>
      <w:bookmarkStart w:name="_Body" w:id="7"/>
      <w:bookmarkEnd w:id="7"/>
      <w:r>
        <w:rPr>
          <w:rFonts w:ascii="Times New Roman" w:cs="Simplified Arabic" w:eastAsia="Simplified Arabic" w:hAnsi="Times New Roman"/>
          <w:b/>
          <w:bCs/>
          <w:color w:val="FFFFFF"/>
          <w:sz w:val="36"/>
          <w:szCs w:val="36"/>
          <w:rtl/>
          <w:lang w:val="ar-SA" w:bidi="ar-SA"/>
        </w:rPr>
        <w:t xml:space="preserve">التفريغ النصي الأكاديمي الشامل: المحاضرة الرابعة - مبادئ الطب الشرعي والقضائي</w:t>
      </w:r>
    </w:p>
    <w:p>
      <w:pPr>
        <w:pBdr>
          <w:top w:val="single" w:color="BFBFBF" w:sz="6" w:space="5"/>
          <w:bottom w:val="single" w:color="BFBFBF" w:sz="6" w:space="5"/>
          <w:left w:val="single" w:color="BFBFBF" w:sz="6" w:space="5"/>
          <w:right w:val="single" w:color="BFBFBF" w:sz="6" w:space="5"/>
        </w:pBdr>
        <w:shd w:fill="F2F2F2" w:color="auto" w:val="clear"/>
        <w:bidi/>
        <w:spacing w:after="240" w:before="0" w:line="324" w:lineRule="auto"/>
        <w:jc w:val="both"/>
      </w:pPr>
      <w:r>
        <w:rPr>
          <w:rFonts w:ascii="Times New Roman" w:cs="Simplified Arabic" w:eastAsia="Simplified Arabic" w:hAnsi="Times New Roman"/>
          <w:color w:val="404040"/>
          <w:sz w:val="22"/>
          <w:szCs w:val="22"/>
          <w:rtl/>
          <w:lang w:val="ar-SA" w:bidi="ar-SA"/>
        </w:rPr>
        <w:t xml:space="preserve">إليك التفريغ النصي الحرفي والشامل والمنظم أكاديمياً لمحتوى المحاضرة الرابعة من مادة </w:t>
      </w:r>
      <w:r>
        <w:rPr>
          <w:rFonts w:ascii="Times New Roman" w:cs="Simplified Arabic" w:eastAsia="Simplified Arabic" w:hAnsi="Times New Roman"/>
          <w:b/>
          <w:bCs/>
          <w:color w:val="262626"/>
          <w:sz w:val="22"/>
          <w:szCs w:val="22"/>
          <w:rtl/>
          <w:lang w:val="ar-SA" w:bidi="ar-SA"/>
        </w:rPr>
        <w:t xml:space="preserve">"مبادئ الطب الشرعي والقضائي"</w:t>
      </w:r>
      <w:r>
        <w:rPr>
          <w:rFonts w:ascii="Times New Roman" w:cs="Simplified Arabic" w:eastAsia="Simplified Arabic" w:hAnsi="Times New Roman"/>
          <w:color w:val="404040"/>
          <w:sz w:val="22"/>
          <w:szCs w:val="22"/>
          <w:rtl/>
          <w:lang w:val="ar-SA" w:bidi="ar-SA"/>
        </w:rPr>
        <w:t xml:space="preserve"> (المصدر: </w:t>
      </w:r>
      <w:r>
        <w:rPr>
          <w:rFonts w:ascii="Times New Roman" w:cs="Simplified Arabic" w:eastAsia="Simplified Arabic" w:hAnsi="Times New Roman"/>
          <w:b/>
          <w:bCs/>
          <w:color w:val="262626"/>
          <w:sz w:val="22"/>
          <w:szCs w:val="22"/>
          <w:rtl/>
          <w:lang w:val="ar-SA" w:bidi="ar-SA"/>
        </w:rPr>
        <w:t xml:space="preserve">شرعي نظري </w:t>
      </w:r>
      <w:r>
        <w:rPr>
          <w:rFonts w:ascii="Times New Roman" w:cs="Times New Roman" w:eastAsia="Times New Roman" w:hAnsi="Times New Roman"/>
          <w:b/>
          <w:bCs/>
          <w:color w:val="262626"/>
          <w:sz w:val="22"/>
          <w:szCs w:val="22"/>
          <w:rtl w:val="false"/>
          <w:lang w:val="en-US" w:bidi="ar-SA"/>
        </w:rPr>
        <w:t xml:space="preserve">1</w:t>
      </w:r>
      <w:r>
        <w:rPr>
          <w:rFonts w:ascii="Times New Roman" w:cs="Simplified Arabic" w:eastAsia="Simplified Arabic" w:hAnsi="Times New Roman"/>
          <w:b/>
          <w:bCs/>
          <w:color w:val="262626"/>
          <w:sz w:val="22"/>
          <w:szCs w:val="22"/>
          <w:rtl/>
          <w:lang w:val="ar-SA" w:bidi="ar-SA"/>
        </w:rPr>
        <w:t xml:space="preserve">-٤.</w:t>
      </w:r>
      <w:r>
        <w:rPr>
          <w:rFonts w:ascii="Times New Roman" w:cs="Times New Roman" w:eastAsia="Times New Roman" w:hAnsi="Times New Roman"/>
          <w:b/>
          <w:bCs/>
          <w:color w:val="262626"/>
          <w:sz w:val="22"/>
          <w:szCs w:val="22"/>
          <w:rtl w:val="false"/>
          <w:lang w:val="en-US" w:bidi="ar-SA"/>
        </w:rPr>
        <w:t xml:space="preserve">‎m4a‎</w:t>
      </w:r>
      <w:r>
        <w:rPr>
          <w:rFonts w:ascii="Times New Roman" w:cs="Simplified Arabic" w:eastAsia="Simplified Arabic" w:hAnsi="Times New Roman"/>
          <w:color w:val="404040"/>
          <w:sz w:val="22"/>
          <w:szCs w:val="22"/>
          <w:rtl/>
          <w:lang w:val="ar-SA" w:bidi="ar-SA"/>
        </w:rPr>
        <w:t xml:space="preserve">)، مع الالتزام التام بكافة القواعد الأكاديمية وصياغتها بلغة عربية فصحى رصينة دون اختصار أو إيجاز.</w:t>
      </w:r>
    </w:p>
    <w:p>
      <w:pPr>
        <w:pStyle w:val="Heading2"/>
        <w:keepNext/>
        <w:pBdr>
          <w:top w:val="single" w:color="F6EEDF" w:sz="4"/>
          <w:bottom w:val="thick" w:color="A9761E" w:sz="18" w:space="2"/>
          <w:left w:val="single" w:color="F6EEDF" w:sz="4"/>
          <w:right w:val="single" w:color="F6EEDF" w:sz="4"/>
        </w:pBdr>
        <w:shd w:fill="F6EEDF" w:color="auto" w:val="clear"/>
        <w:bidi/>
        <w:spacing w:after="160" w:before="320" w:line="300" w:lineRule="auto"/>
      </w:pPr>
      <w:r>
        <w:rPr>
          <w:rFonts w:ascii="Times New Roman" w:cs="Simplified Arabic" w:eastAsia="Simplified Arabic" w:hAnsi="Times New Roman"/>
          <w:b/>
          <w:bCs/>
          <w:color w:val="141B2E"/>
          <w:sz w:val="30"/>
          <w:szCs w:val="30"/>
          <w:rtl/>
          <w:lang w:val="ar-SA" w:bidi="ar-SA"/>
        </w:rPr>
        <w:t xml:space="preserve">أولاً: التمييز الطبي الشرعي بين الموت الدماغي والحالات الأخرى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‎1.‎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المظاهر الحيوية الكاذبة والموت الدماغي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طبيعة المظاهر الحيوية تحت التهوية الآلية: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عند تشخيص الموت الدماغي رسمياً لدى مريض موجود في وحدة العناية المشددة وموصول بجهاز التنفس الاصطناعي (المنفسة الآلية)، فإن استمرار وجود النبض، الضغط الشرياني، والحرارة الجسدية يُعد مجرد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"مظاهر كاذبة للحياة"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ناتجة عن الدعم الآلي وليست دليلاً على بقاء الشخص على قيد الحياة.</w:t>
      </w:r>
    </w:p>
    <w:p>
      <w:pPr>
        <w:pBdr>
          <w:top w:val="single" w:color="BF9000" w:sz="8" w:space="4"/>
          <w:bottom w:val="single" w:color="BF9000" w:sz="8" w:space="4"/>
          <w:left w:val="single" w:color="BF9000" w:sz="8" w:space="4"/>
          <w:right w:val="single" w:color="BF9000" w:sz="8" w:space="4"/>
        </w:pBdr>
        <w:shd w:fill="FFF2CC" w:color="auto" w:val="clear"/>
        <w:bidi/>
        <w:spacing w:after="140" w:before="80" w:line="360" w:lineRule="auto"/>
        <w:ind w:start="100" w:end="100" w:left="100" w:right="100"/>
        <w:jc w:val="both"/>
      </w:pPr>
      <w:r>
        <w:rPr>
          <w:rFonts w:ascii="Times New Roman" w:cs="Simplified Arabic" w:eastAsia="Simplified Arabic" w:hAnsi="Times New Roman"/>
          <w:b/>
          <w:bCs/>
          <w:color w:val="FFFFFF"/>
          <w:sz w:val="24"/>
          <w:szCs w:val="24"/>
          <w:shd w:fill="C00000" w:color="auto" w:val="clear"/>
          <w:rtl/>
          <w:lang w:val="ar-SA" w:bidi="ar-SA"/>
        </w:rPr>
        <w:t xml:space="preserve">[هام جداً]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التكييف القانوني والأخلاقي لرفع أجهزة الدعم: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إن فصل أجهزة التهوية الآلية عن الشخص المتوفى دماغياً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لا يُعد إطلاقاً من قبيل القتل الرحيم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(Euthanasia)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؛ لأن الشخص يُعد متوفى حكماً وقانوناً وطبياً قبل رفع الجهاز، وإنما يتم إيقاف الأجهزة لانتفاء صفة الحياة الحقيقية ولإتاحة الفرصة لاستغلال أجهزة وسرة العناية المشددة لإنقاذ مرضى آخرين أحياء.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‎2.‎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التمييز بين الموت الدماغي والحالة النباتية </w:t>
      </w: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(Vegetative State)</w:t>
      </w:r>
    </w:p>
    <w:tbl>
      <w:tblPr>
        <w:bidiVisual/>
        <w:tblW w:type="dxa" w:w="9070"/>
        <w:tblBorders>
          <w:top w:val="single" w:color="D9C49A" w:sz="6"/>
          <w:left w:val="single" w:color="D9C49A" w:sz="6"/>
          <w:bottom w:val="single" w:color="D9C49A" w:sz="6"/>
          <w:right w:val="single" w:color="D9C49A" w:sz="6"/>
          <w:insideH w:val="single" w:color="D9C49A" w:sz="4"/>
          <w:insideV w:val="single" w:color="D9C49A" w:sz="4"/>
        </w:tblBorders>
        <w:tblLayout w:type="fixed"/>
      </w:tblPr>
      <w:tblGrid>
        <w:gridCol w:w="1842"/>
        <w:gridCol w:w="3094"/>
        <w:gridCol w:w="4134"/>
      </w:tblGrid>
      <w:tr>
        <w:trPr>
          <w:cantSplit/>
          <w:tblHeader/>
        </w:trPr>
        <w:tc>
          <w:tcPr>
            <w:tcW w:type="dxa" w:w="1842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وجه المقارنة</w:t>
            </w:r>
          </w:p>
        </w:tc>
        <w:tc>
          <w:tcPr>
            <w:tcW w:type="dxa" w:w="3094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الموت الدماغي </w:t>
            </w: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  <w:rtl w:val="false"/>
                <w:lang w:val="en-US" w:bidi="ar-SA"/>
              </w:rPr>
              <w:t xml:space="preserve">(Brain Death)</w:t>
            </w:r>
          </w:p>
        </w:tc>
        <w:tc>
          <w:tcPr>
            <w:tcW w:type="dxa" w:w="4134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الحالة النباتية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  <w:rtl w:val="false"/>
                <w:lang w:val="en-US" w:bidi="ar-SA"/>
              </w:rPr>
              <w:t xml:space="preserve">(Vegetative State)</w:t>
            </w:r>
          </w:p>
        </w:tc>
      </w:tr>
      <w:tr>
        <w:trPr>
          <w:cantSplit/>
          <w:tblHeader w:val="false"/>
        </w:trPr>
        <w:tc>
          <w:tcPr>
            <w:tcW w:type="dxa" w:w="1842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طبيعة الضرر الدماغي</w:t>
            </w:r>
          </w:p>
        </w:tc>
        <w:tc>
          <w:tcPr>
            <w:tcW w:type="dxa" w:w="309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تموت كامل وشامل للدماغ وجذعه بشكل غير عكوس</w:t>
            </w:r>
          </w:p>
        </w:tc>
        <w:tc>
          <w:tcPr>
            <w:tcW w:type="dxa" w:w="413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أذية في القشر الدماغي مع بقاء جذع الدماغ يعمل جزئياً</w:t>
            </w:r>
          </w:p>
        </w:tc>
      </w:tr>
      <w:tr>
        <w:trPr>
          <w:cantSplit/>
          <w:tblHeader w:val="false"/>
        </w:trPr>
        <w:tc>
          <w:tcPr>
            <w:tcW w:type="dxa" w:w="1842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إمكانية التحسن أو الشفاء</w:t>
            </w:r>
          </w:p>
        </w:tc>
        <w:tc>
          <w:tcPr>
            <w:tcW w:type="dxa" w:w="3094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معدومة تماماً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(توقف نهائي وغير عكوس)</w:t>
            </w:r>
          </w:p>
        </w:tc>
        <w:tc>
          <w:tcPr>
            <w:tcW w:type="dxa" w:w="4134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ممكّنة ومحتملة (قد يتحسن المريض أو يستعيد بعض الوظائف)</w:t>
            </w:r>
          </w:p>
        </w:tc>
      </w:tr>
      <w:tr>
        <w:trPr>
          <w:cantSplit/>
          <w:tblHeader w:val="false"/>
        </w:trPr>
        <w:tc>
          <w:tcPr>
            <w:tcW w:type="dxa" w:w="1842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التكييف القانوني للوفاة</w:t>
            </w:r>
          </w:p>
        </w:tc>
        <w:tc>
          <w:tcPr>
            <w:tcW w:type="dxa" w:w="309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شخص متوفى رسمياً وقانونياً</w:t>
            </w:r>
          </w:p>
        </w:tc>
        <w:tc>
          <w:tcPr>
            <w:tcW w:type="dxa" w:w="413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شخص حي يخضع للعلاج والمتابعة الطبية</w:t>
            </w:r>
          </w:p>
        </w:tc>
      </w:tr>
    </w:tbl>
    <w:p>
      <w:pPr>
        <w:spacing w:after="120" w:before="0" w:line="200"/>
      </w:pPr>
    </w:p>
    <w:p>
      <w:pPr>
        <w:pStyle w:val="Heading2"/>
        <w:keepNext/>
        <w:pBdr>
          <w:top w:val="single" w:color="F6EEDF" w:sz="4"/>
          <w:bottom w:val="thick" w:color="A9761E" w:sz="18" w:space="2"/>
          <w:left w:val="single" w:color="F6EEDF" w:sz="4"/>
          <w:right w:val="single" w:color="F6EEDF" w:sz="4"/>
        </w:pBdr>
        <w:shd w:fill="F6EEDF" w:color="auto" w:val="clear"/>
        <w:bidi/>
        <w:spacing w:after="160" w:before="320" w:line="300" w:lineRule="auto"/>
      </w:pPr>
      <w:r>
        <w:rPr>
          <w:rFonts w:ascii="Times New Roman" w:cs="Simplified Arabic" w:eastAsia="Simplified Arabic" w:hAnsi="Times New Roman"/>
          <w:b/>
          <w:bCs/>
          <w:color w:val="141B2E"/>
          <w:sz w:val="30"/>
          <w:szCs w:val="30"/>
          <w:rtl/>
          <w:lang w:val="ar-SA" w:bidi="ar-SA"/>
        </w:rPr>
        <w:t xml:space="preserve">ثانياً: الموت المفاجئ غير المتوقع </w:t>
      </w:r>
      <w:r>
        <w:rPr>
          <w:rFonts w:ascii="Times New Roman" w:cs="Times New Roman" w:eastAsia="Times New Roman" w:hAnsi="Times New Roman"/>
          <w:b/>
          <w:bCs/>
          <w:color w:val="141B2E"/>
          <w:sz w:val="30"/>
          <w:szCs w:val="30"/>
          <w:rtl w:val="false"/>
          <w:lang w:val="en-US" w:bidi="ar-SA"/>
        </w:rPr>
        <w:t xml:space="preserve">(Sudden Unexpected Death)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‎1.‎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التعريف الأكاديمي والزمني للموت المفاجئ</w:t>
      </w:r>
    </w:p>
    <w:p>
      <w:pPr>
        <w:pBdr>
          <w:top w:val="single" w:color="BF9000" w:sz="8" w:space="4"/>
          <w:bottom w:val="single" w:color="BF9000" w:sz="8" w:space="4"/>
          <w:left w:val="single" w:color="BF9000" w:sz="8" w:space="4"/>
          <w:right w:val="single" w:color="BF9000" w:sz="8" w:space="4"/>
        </w:pBdr>
        <w:shd w:fill="FFF2CC" w:color="auto" w:val="clear"/>
        <w:bidi/>
        <w:spacing w:after="140" w:before="80" w:line="360" w:lineRule="auto"/>
        <w:ind w:start="100" w:end="100" w:left="100" w:right="100"/>
        <w:jc w:val="both"/>
      </w:pPr>
      <w:r>
        <w:rPr>
          <w:rFonts w:ascii="Times New Roman" w:cs="Simplified Arabic" w:eastAsia="Simplified Arabic" w:hAnsi="Times New Roman"/>
          <w:b/>
          <w:bCs/>
          <w:color w:val="FFFFFF"/>
          <w:sz w:val="24"/>
          <w:szCs w:val="24"/>
          <w:shd w:fill="C00000" w:color="auto" w:val="clear"/>
          <w:rtl/>
          <w:lang w:val="ar-SA" w:bidi="ar-SA"/>
        </w:rPr>
        <w:t xml:space="preserve">[هام جداً]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تعريف الموت المفاجئ: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هو الموت الطبيعي السريع غير المتوقع الذي يحدث لدى شخص كان يبدو ظاهرياً بصحة جيدة وسليمة، ودون وجود إشراف طبي مباشر أو علامات مرضية سابقة معروفة.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‎2.‎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التصنيف الزمني للموت المفاجئ</w:t>
      </w:r>
    </w:p>
    <w:p>
      <w:pPr>
        <w:keepNext/>
        <w:bidi/>
        <w:spacing w:after="100" w:before="0" w:line="360" w:lineRule="auto"/>
        <w:jc w:val="both"/>
      </w:pP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ينقسم الموت المفاجئ بحسب الظروف الزمنية ووجود الشهود إلى ثلاثة أنماط رئيسية:</w:t>
      </w:r>
    </w:p>
    <w:tbl>
      <w:tblPr>
        <w:bidiVisual/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20"/>
        <w:gridCol w:w="8450"/>
      </w:tblGrid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1.</w:t>
            </w:r>
          </w:p>
        </w:tc>
        <w:tc>
          <w:tcPr>
            <w:tcW w:type="dxa" w:w="8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keepNext/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الموت الآني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(Instantaneous Death)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يحدث فوراً وفي نفس اللحظة (خلال ثوانٍ) أثناء ممارسة الشخص لنشاطه الطبيعي (مثل سقوط الشخص فجأة وتوفيه أثناء حديثه مع الآخرين).</w:t>
            </w:r>
          </w:p>
        </w:tc>
      </w:tr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2.</w:t>
            </w:r>
          </w:p>
        </w:tc>
        <w:tc>
          <w:tcPr>
            <w:tcW w:type="dxa" w:w="8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keepNext/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الموت السريع في الحالات المشهودة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(Witnessed Rapid Death)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يحدث في الحالات التي يوجد فيها شهود عيان، وتتطور فيها الوفاة خلال مدة أقصاها 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ساعة واحدة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‎(1 hour)‎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من بدايه ظهور الأعراض الجسدية المفاجئة (مثل الشعور بألم صدري أو بطني حاد أثناء تناول الطعام وتدهور الحالة والوفاة قبل الوصول للمستشفى).</w:t>
            </w:r>
          </w:p>
        </w:tc>
      </w:tr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3.</w:t>
            </w:r>
          </w:p>
        </w:tc>
        <w:tc>
          <w:tcPr>
            <w:tcW w:type="dxa" w:w="8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keepNext/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الموت المفاجئ في الحالات غير المشهودة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(Unwitnessed Death)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يُصنف الموت بأنه مفاجئ إذا كانت الحادثة غير مشهودة (غياب الشهود) ووقعت الوفاة خلال مدة أقصاها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24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ساعة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من آخر مرة شوهد فيها الشخص حياً وبصحة جيدة (مثل دخول الشخص لمنزله مساءً والعثور عليه متوفياً في الصباح التالي).</w:t>
            </w:r>
          </w:p>
        </w:tc>
      </w:tr>
    </w:tbl>
    <w:p>
      <w:pPr>
        <w:spacing w:after="60" w:before="0" w:line="120"/>
      </w:pP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‎3.‎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جدول مقارنة: الأنماط الزمنية للموت المفاجئ غير المتوقع</w:t>
      </w:r>
    </w:p>
    <w:tbl>
      <w:tblPr>
        <w:bidiVisual/>
        <w:tblW w:type="dxa" w:w="9070"/>
        <w:tblBorders>
          <w:top w:val="single" w:color="D9C49A" w:sz="6"/>
          <w:left w:val="single" w:color="D9C49A" w:sz="6"/>
          <w:bottom w:val="single" w:color="D9C49A" w:sz="6"/>
          <w:right w:val="single" w:color="D9C49A" w:sz="6"/>
          <w:insideH w:val="single" w:color="D9C49A" w:sz="4"/>
          <w:insideV w:val="single" w:color="D9C49A" w:sz="4"/>
        </w:tblBorders>
        <w:tblLayout w:type="fixed"/>
      </w:tblPr>
      <w:tblGrid>
        <w:gridCol w:w="1700"/>
        <w:gridCol w:w="1700"/>
        <w:gridCol w:w="3051"/>
        <w:gridCol w:w="2619"/>
      </w:tblGrid>
      <w:tr>
        <w:trPr>
          <w:cantSplit/>
          <w:tblHeader/>
        </w:trPr>
        <w:tc>
          <w:tcPr>
            <w:tcW w:type="dxa" w:w="1700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النمط الزمني</w:t>
            </w:r>
          </w:p>
        </w:tc>
        <w:tc>
          <w:tcPr>
            <w:tcW w:type="dxa" w:w="1700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وجود الشهود</w:t>
            </w:r>
          </w:p>
        </w:tc>
        <w:tc>
          <w:tcPr>
            <w:tcW w:type="dxa" w:w="3051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الإطار الزمني لتطور الوفاة</w:t>
            </w:r>
          </w:p>
        </w:tc>
        <w:tc>
          <w:tcPr>
            <w:tcW w:type="dxa" w:w="2619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مثال تطبيقي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الموت الآني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مشهود</w:t>
            </w:r>
          </w:p>
        </w:tc>
        <w:tc>
          <w:tcPr>
            <w:tcW w:type="dxa" w:w="30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فورياً (خلال لحظات/ثوانٍ)</w:t>
            </w:r>
          </w:p>
        </w:tc>
        <w:tc>
          <w:tcPr>
            <w:tcW w:type="dxa" w:w="261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السقوط والوفاة المفاجئة أثناء الحديث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الموت السريع المشهود</w:t>
            </w:r>
          </w:p>
        </w:tc>
        <w:tc>
          <w:tcPr>
            <w:tcW w:type="dxa" w:w="1700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مشهود</w:t>
            </w:r>
          </w:p>
        </w:tc>
        <w:tc>
          <w:tcPr>
            <w:tcW w:type="dxa" w:w="3051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خلال 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ساعة واحدة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من ظهور الأعراض</w:t>
            </w:r>
          </w:p>
        </w:tc>
        <w:tc>
          <w:tcPr>
            <w:tcW w:type="dxa" w:w="2619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ألم صدري مفاجئ يؤدي للوفاة خلال دقائق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الموت غير المشهود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غير مشهود</w:t>
            </w:r>
          </w:p>
        </w:tc>
        <w:tc>
          <w:tcPr>
            <w:tcW w:type="dxa" w:w="30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خلال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24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 ساعة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من آخر مشاهدة حية</w:t>
            </w:r>
          </w:p>
        </w:tc>
        <w:tc>
          <w:tcPr>
            <w:tcW w:type="dxa" w:w="261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العثور على شخص متوفياً في شقته صباحاً</w:t>
            </w:r>
          </w:p>
        </w:tc>
      </w:tr>
    </w:tbl>
    <w:p>
      <w:pPr>
        <w:spacing w:after="120" w:before="0" w:line="200"/>
      </w:pPr>
    </w:p>
    <w:p>
      <w:pPr>
        <w:pStyle w:val="Heading2"/>
        <w:keepNext/>
        <w:pBdr>
          <w:top w:val="single" w:color="F6EEDF" w:sz="4"/>
          <w:bottom w:val="thick" w:color="A9761E" w:sz="18" w:space="2"/>
          <w:left w:val="single" w:color="F6EEDF" w:sz="4"/>
          <w:right w:val="single" w:color="F6EEDF" w:sz="4"/>
        </w:pBdr>
        <w:shd w:fill="F6EEDF" w:color="auto" w:val="clear"/>
        <w:bidi/>
        <w:spacing w:after="160" w:before="320" w:line="300" w:lineRule="auto"/>
      </w:pPr>
      <w:r>
        <w:rPr>
          <w:rFonts w:ascii="Times New Roman" w:cs="Simplified Arabic" w:eastAsia="Simplified Arabic" w:hAnsi="Times New Roman"/>
          <w:b/>
          <w:bCs/>
          <w:color w:val="141B2E"/>
          <w:sz w:val="30"/>
          <w:szCs w:val="30"/>
          <w:rtl/>
          <w:lang w:val="ar-SA" w:bidi="ar-SA"/>
        </w:rPr>
        <w:t xml:space="preserve">ثالثاً: أسباب الموت المفاجئ (المنظومة القلبية الوعائية)</w:t>
      </w:r>
    </w:p>
    <w:p>
      <w:pPr>
        <w:bidi/>
        <w:spacing w:after="100" w:before="0" w:line="360" w:lineRule="auto"/>
        <w:jc w:val="both"/>
      </w:pP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تُعزى معظم حالات الموت المفاجئ إلى أذية الأعضاء الحياتية الثلاثة (القلب، الدماغ، الرئتان).</w:t>
      </w:r>
    </w:p>
    <w:p>
      <w:pPr>
        <w:pBdr>
          <w:top w:val="single" w:color="BF9000" w:sz="8" w:space="4"/>
          <w:bottom w:val="single" w:color="BF9000" w:sz="8" w:space="4"/>
          <w:left w:val="single" w:color="BF9000" w:sz="8" w:space="4"/>
          <w:right w:val="single" w:color="BF9000" w:sz="8" w:space="4"/>
        </w:pBdr>
        <w:shd w:fill="FFF2CC" w:color="auto" w:val="clear"/>
        <w:bidi/>
        <w:spacing w:after="140" w:before="80" w:line="360" w:lineRule="auto"/>
        <w:ind w:start="100" w:end="100" w:left="100" w:right="100"/>
        <w:jc w:val="both"/>
      </w:pPr>
      <w:r>
        <w:rPr>
          <w:rFonts w:ascii="Times New Roman" w:cs="Simplified Arabic" w:eastAsia="Simplified Arabic" w:hAnsi="Times New Roman"/>
          <w:b/>
          <w:bCs/>
          <w:color w:val="FFFFFF"/>
          <w:sz w:val="24"/>
          <w:szCs w:val="24"/>
          <w:shd w:fill="C00000" w:color="auto" w:val="clear"/>
          <w:rtl/>
          <w:lang w:val="ar-SA" w:bidi="ar-SA"/>
        </w:rPr>
        <w:t xml:space="preserve">[هام جداً]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نسبة الأسباب القلبية الوعائية: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تشكل الأسباب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القلبية الوعائية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(Cardiovascular Causes)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ما نسبته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‎80%‎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من إجمالي حالات الموت المفاجئ غير المتوقع في الطب الشرعي.</w:t>
      </w:r>
    </w:p>
    <w:p>
      <w:pPr>
        <w:keepNext/>
        <w:bidi/>
        <w:spacing w:after="100" w:before="0" w:line="360" w:lineRule="auto"/>
        <w:jc w:val="both"/>
      </w:pP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تُصنف الأسباب القلبية بحسب الطبقات البنيوية للقلب من الخرج إلى الداخل:</w:t>
      </w:r>
    </w:p>
    <w:tbl>
      <w:tblPr>
        <w:bidiVisual/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35"/>
        <w:gridCol w:w="6000"/>
        <w:gridCol w:w="1535"/>
      </w:tblGrid>
      <w:tr>
        <w:trPr>
          <w:cantSplit/>
        </w:trPr>
        <w:tc>
          <w:tcPr>
            <w:tcW w:type="dxa" w:w="15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spacing w:after="0" w:before="0" w:line="240" w:lineRule="auto"/>
              <w:jc w:val="center"/>
            </w:pPr>
          </w:p>
        </w:tc>
        <w:tc>
          <w:tcPr>
            <w:tcW w:type="dxa" w:w="6000"/>
            <w:tcBorders>
              <w:top w:val="single" w:color="141B2E" w:sz="8"/>
              <w:left w:val="single" w:color="141B2E" w:sz="8"/>
              <w:bottom w:val="single" w:color="141B2E" w:sz="8"/>
              <w:right w:val="single" w:color="141B2E" w:sz="8"/>
            </w:tcBorders>
            <w:shd w:fill="141B2E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spacing w:after="0" w:before="0" w:line="300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4"/>
                <w:szCs w:val="24"/>
                <w:rtl/>
                <w:lang w:val="ar-SA" w:bidi="ar-SA"/>
              </w:rPr>
              <w:t xml:space="preserve">الأسباب القلبية الوعائية للموت المفاجئ</w:t>
            </w:r>
          </w:p>
        </w:tc>
        <w:tc>
          <w:tcPr>
            <w:tcW w:type="dxa" w:w="15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spacing w:after="0" w:before="0" w:line="240" w:lineRule="auto"/>
              <w:jc w:val="center"/>
            </w:pPr>
          </w:p>
        </w:tc>
      </w:tr>
    </w:tbl>
    <w:tbl>
      <w:tblPr>
        <w:bidiVisual/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864"/>
        <w:gridCol w:w="240"/>
        <w:gridCol w:w="2863"/>
        <w:gridCol w:w="240"/>
        <w:gridCol w:w="2863"/>
      </w:tblGrid>
      <w:tr>
        <w:trPr>
          <w:cantSplit/>
        </w:trPr>
        <w:tc>
          <w:tcPr>
            <w:tcW w:type="dxa" w:w="28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A9761E"/>
                <w:sz w:val="24"/>
                <w:szCs w:val="24"/>
                <w:rtl w:val="false"/>
                <w:lang w:val="en-US" w:bidi="ar-SA"/>
              </w:rPr>
              <w:t xml:space="preserve">▼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spacing w:after="0" w:before="0" w:line="240" w:lineRule="auto"/>
              <w:jc w:val="center"/>
            </w:pPr>
          </w:p>
        </w:tc>
        <w:tc>
          <w:tcPr>
            <w:tcW w:type="dxa" w:w="2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A9761E"/>
                <w:sz w:val="24"/>
                <w:szCs w:val="24"/>
                <w:rtl w:val="false"/>
                <w:lang w:val="en-US" w:bidi="ar-SA"/>
              </w:rPr>
              <w:t xml:space="preserve">▼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spacing w:after="0" w:before="0" w:line="240" w:lineRule="auto"/>
              <w:jc w:val="center"/>
            </w:pPr>
          </w:p>
        </w:tc>
        <w:tc>
          <w:tcPr>
            <w:tcW w:type="dxa" w:w="2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A9761E"/>
                <w:sz w:val="24"/>
                <w:szCs w:val="24"/>
                <w:rtl w:val="false"/>
                <w:lang w:val="en-US" w:bidi="ar-SA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2864"/>
            <w:tcBorders>
              <w:top w:val="single" w:color="A9761E" w:sz="8"/>
              <w:left w:val="single" w:color="A9761E" w:sz="8"/>
              <w:bottom w:val="single" w:color="A9761E" w:sz="8"/>
              <w:right w:val="single" w:color="A9761E" w:sz="8"/>
            </w:tcBorders>
            <w:shd w:fill="F6EEDF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‎1.‎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 أمراض التامور والطبقة الخارجية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80"/>
              <w:bottom w:type="dxa" w:w="90"/>
              <w:right w:type="dxa" w:w="8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</w:p>
        </w:tc>
        <w:tc>
          <w:tcPr>
            <w:tcW w:type="dxa" w:w="2863"/>
            <w:tcBorders>
              <w:top w:val="single" w:color="A9761E" w:sz="8"/>
              <w:left w:val="single" w:color="A9761E" w:sz="8"/>
              <w:bottom w:val="single" w:color="A9761E" w:sz="8"/>
              <w:right w:val="single" w:color="A9761E" w:sz="8"/>
            </w:tcBorders>
            <w:shd w:fill="F6EEDF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‎2.‎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 أمراض الشرايين الإكليلية (الأشيع)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80"/>
              <w:bottom w:type="dxa" w:w="90"/>
              <w:right w:type="dxa" w:w="8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</w:p>
        </w:tc>
        <w:tc>
          <w:tcPr>
            <w:tcW w:type="dxa" w:w="2863"/>
            <w:tcBorders>
              <w:top w:val="single" w:color="A9761E" w:sz="8"/>
              <w:left w:val="single" w:color="A9761E" w:sz="8"/>
              <w:bottom w:val="single" w:color="A9761E" w:sz="8"/>
              <w:right w:val="single" w:color="A9761E" w:sz="8"/>
            </w:tcBorders>
            <w:shd w:fill="F6EEDF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‎3.‎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 أمراض العضلة القلبية (الاعتلالات)</w:t>
            </w:r>
          </w:p>
        </w:tc>
      </w:tr>
    </w:tbl>
    <w:p>
      <w:pPr>
        <w:spacing w:after="120" w:before="0"/>
      </w:pPr>
    </w:p>
    <w:p>
      <w:pPr>
        <w:pStyle w:val="Heading2"/>
        <w:keepNext/>
        <w:pBdr>
          <w:top w:val="single" w:color="F6EEDF" w:sz="4"/>
          <w:bottom w:val="thick" w:color="A9761E" w:sz="18" w:space="2"/>
          <w:left w:val="single" w:color="F6EEDF" w:sz="4"/>
          <w:right w:val="single" w:color="F6EEDF" w:sz="4"/>
        </w:pBdr>
        <w:shd w:fill="F6EEDF" w:color="auto" w:val="clear"/>
        <w:bidi/>
        <w:spacing w:after="160" w:before="320" w:line="300" w:lineRule="auto"/>
      </w:pPr>
      <w:r>
        <w:rPr>
          <w:rFonts w:ascii="Times New Roman" w:cs="Simplified Arabic" w:eastAsia="Simplified Arabic" w:hAnsi="Times New Roman"/>
          <w:b/>
          <w:bCs/>
          <w:color w:val="141B2E"/>
          <w:sz w:val="30"/>
          <w:szCs w:val="30"/>
          <w:rtl/>
          <w:lang w:val="ar-SA" w:bidi="ar-SA"/>
        </w:rPr>
        <w:t xml:space="preserve">رابعاً: أمراض الشرايين الإكليلية المسببة للموت المفاجئ</w:t>
      </w:r>
    </w:p>
    <w:p>
      <w:pPr>
        <w:keepNext/>
        <w:bidi/>
        <w:spacing w:after="100" w:before="0" w:line="360" w:lineRule="auto"/>
        <w:jc w:val="both"/>
      </w:pP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تُعد أمراض الشرايين الإكليلية المسبب الرئيسي والأول للوفيات القلبية المفاجئة: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‎1.‎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تصلب وتضيق الشرايين الإكليلية </w:t>
      </w: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(Coronary Atherosclerosis)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الآلية الإمراضية: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يسبب التصلب العصيدي تضيقاً في لمعة الشريان الإكليلي، مما يؤدي إلى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نقص التروية الدموية الحاد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(Acute Ischemia)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وبالتالي حدوث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احتشاء العضلة القلبية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(Myocardial Infarction)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أو اضطرابات نظم قاتلة.</w:t>
      </w:r>
    </w:p>
    <w:p>
      <w:pPr>
        <w:pBdr>
          <w:top w:val="single" w:color="BF9000" w:sz="8" w:space="4"/>
          <w:bottom w:val="single" w:color="BF9000" w:sz="8" w:space="4"/>
          <w:left w:val="single" w:color="BF9000" w:sz="8" w:space="4"/>
          <w:right w:val="single" w:color="BF9000" w:sz="8" w:space="4"/>
        </w:pBdr>
        <w:shd w:fill="FFF2CC" w:color="auto" w:val="clear"/>
        <w:bidi/>
        <w:spacing w:after="140" w:before="80" w:line="360" w:lineRule="auto"/>
        <w:ind w:start="100" w:end="100" w:left="100" w:right="100"/>
        <w:jc w:val="both"/>
      </w:pPr>
      <w:r>
        <w:rPr>
          <w:rFonts w:ascii="Times New Roman" w:cs="Simplified Arabic" w:eastAsia="Simplified Arabic" w:hAnsi="Times New Roman"/>
          <w:b/>
          <w:bCs/>
          <w:color w:val="FFFFFF"/>
          <w:sz w:val="24"/>
          <w:szCs w:val="24"/>
          <w:shd w:fill="C00000" w:color="auto" w:val="clear"/>
          <w:rtl/>
          <w:lang w:val="ar-SA" w:bidi="ar-SA"/>
        </w:rPr>
        <w:t xml:space="preserve">[هام جداً]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النسبة الحرجة للتضيق الإكليلي: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لكي يتسبب التضيق الإكليلي في حدوث نقص تروية حاد وموت مفاجئ في حالة الراحة، يجب أن تزيد نسبة التضيق في لمعة الشريان عن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‎75%‎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(أكثر من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‎75%‎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. أما التضيقات التي بلغت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‎50%‎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فقد تظهر أعراضها فقط عند الجهد الشديد.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‎2.‎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التوزيع التشريحي ونسب وقوع التصلب في الشرايين الإكليلية</w:t>
      </w:r>
    </w:p>
    <w:p>
      <w:pPr>
        <w:keepNext/>
        <w:bidi/>
        <w:spacing w:after="100" w:before="0" w:line="360" w:lineRule="auto"/>
        <w:jc w:val="both"/>
      </w:pP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تحدث التضيقات العصيدية بشكل انتقائي في أماكن محددة من الشرايين الإكليلية وفق النسب التالية:</w:t>
      </w:r>
    </w:p>
    <w:tbl>
      <w:tblPr>
        <w:bidiVisual/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20"/>
        <w:gridCol w:w="8450"/>
      </w:tblGrid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1.</w:t>
            </w:r>
          </w:p>
        </w:tc>
        <w:tc>
          <w:tcPr>
            <w:tcW w:type="dxa" w:w="8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keepNext/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الشريان الإكليلي النازل الأمامي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(Left Anterior Descending Artery - LAD)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ينشأ من جذع الشريان الإكليلي الأيسر (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false"/>
                <w:lang w:val="en-US" w:bidi="ar-SA"/>
              </w:rPr>
              <w:t xml:space="preserve">Left Main Trunk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الذي يبلغ طوله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false"/>
                <w:lang w:val="en-US" w:bidi="ar-SA"/>
              </w:rPr>
              <w:t xml:space="preserve">‎1‎-‎2‎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سم).</w:t>
            </w:r>
          </w:p>
          <w:p>
            <w:pPr>
              <w:pBdr>
                <w:top w:val="single" w:color="BF9000" w:sz="8" w:space="4"/>
                <w:bottom w:val="single" w:color="BF9000" w:sz="8" w:space="4"/>
                <w:left w:val="single" w:color="BF9000" w:sz="8" w:space="4"/>
                <w:right w:val="single" w:color="BF9000" w:sz="8" w:space="4"/>
              </w:pBdr>
              <w:shd w:fill="FFF2CC" w:color="auto" w:val="clear"/>
              <w:bidi/>
              <w:spacing w:after="140" w:before="80" w:line="360" w:lineRule="auto"/>
              <w:ind w:start="100" w:end="100" w:left="100" w:right="100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4"/>
                <w:szCs w:val="24"/>
                <w:shd w:fill="C00000" w:color="auto" w:val="clear"/>
                <w:rtl/>
                <w:lang w:val="ar-SA" w:bidi="ar-SA"/>
              </w:rPr>
              <w:t xml:space="preserve">[هام جداً]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تحدث التضيقات في الجزء الأول منه (على بعد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false"/>
                <w:lang w:val="en-US" w:bidi="ar-SA"/>
              </w:rPr>
              <w:t xml:space="preserve">‎1‎-‎2‎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سم من بدايته) بنسبة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‎45%‎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إلى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‎65%‎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من الحالات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(وهو الموقع الأشيع إطلاقاً).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التسمية الشائعة: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يُطلق عليه اسم 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"صانع الأرامل"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(Widow Maker)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لخطورة التضيق فيه وتسببه بالموت المفاجئ.</w:t>
            </w:r>
          </w:p>
        </w:tc>
      </w:tr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2.</w:t>
            </w:r>
          </w:p>
        </w:tc>
        <w:tc>
          <w:tcPr>
            <w:tcW w:type="dxa" w:w="8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keepNext/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الشريان الإكليلي الايمن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(Right Coronary Artery - RCA)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يلتف حول الحافة اليمنى للقلب ويتمادى بالشريان النازل الخلفي (الذي يحدد سيطرة الشريان).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تحدث التضيقات عند الحافة اليمنى وبدايته بنسبة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‎25%‎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إلى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‎35%‎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من الحالات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.</w:t>
            </w:r>
          </w:p>
        </w:tc>
      </w:tr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3.</w:t>
            </w:r>
          </w:p>
        </w:tc>
        <w:tc>
          <w:tcPr>
            <w:tcW w:type="dxa" w:w="8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keepNext/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الشريان المنعكس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(Left Circumflex Artery - LCx)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تحدث التضيقات في بدايته بنسبة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‎5%‎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إلى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‎10%‎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من الحالات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.</w:t>
            </w:r>
          </w:p>
        </w:tc>
      </w:tr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4.</w:t>
            </w:r>
          </w:p>
        </w:tc>
        <w:tc>
          <w:tcPr>
            <w:tcW w:type="dxa" w:w="8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keepNext/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جذع الشريان الإكليلي الأيسر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(Left Main Coronary Trunk)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تحدث التضيقات في بدايته بعد المخرج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false"/>
                <w:lang w:val="en-US" w:bidi="ar-SA"/>
              </w:rPr>
              <w:t xml:space="preserve">(Ostium)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بنسبة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‎1%‎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إلى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‎10%‎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من الحالات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.</w:t>
            </w:r>
          </w:p>
        </w:tc>
      </w:tr>
    </w:tbl>
    <w:p>
      <w:pPr>
        <w:spacing w:after="60" w:before="0" w:line="120"/>
      </w:pP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‎3.‎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جدول مقارنة: التوزيع التشريحي لتضيقات الشرايين الإكليلية العصيدية</w:t>
      </w:r>
    </w:p>
    <w:tbl>
      <w:tblPr>
        <w:bidiVisual/>
        <w:tblW w:type="dxa" w:w="9070"/>
        <w:tblBorders>
          <w:top w:val="single" w:color="D9C49A" w:sz="6"/>
          <w:left w:val="single" w:color="D9C49A" w:sz="6"/>
          <w:bottom w:val="single" w:color="D9C49A" w:sz="6"/>
          <w:right w:val="single" w:color="D9C49A" w:sz="6"/>
          <w:insideH w:val="single" w:color="D9C49A" w:sz="4"/>
          <w:insideV w:val="single" w:color="D9C49A" w:sz="4"/>
        </w:tblBorders>
        <w:tblLayout w:type="fixed"/>
      </w:tblPr>
      <w:tblGrid>
        <w:gridCol w:w="2295"/>
        <w:gridCol w:w="2448"/>
        <w:gridCol w:w="1700"/>
        <w:gridCol w:w="2627"/>
      </w:tblGrid>
      <w:tr>
        <w:trPr>
          <w:cantSplit/>
          <w:tblHeader/>
        </w:trPr>
        <w:tc>
          <w:tcPr>
            <w:tcW w:type="dxa" w:w="2295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الشريان الإكليلي</w:t>
            </w:r>
          </w:p>
        </w:tc>
        <w:tc>
          <w:tcPr>
            <w:tcW w:type="dxa" w:w="2448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موقع التضيق الشائع</w:t>
            </w:r>
          </w:p>
        </w:tc>
        <w:tc>
          <w:tcPr>
            <w:tcW w:type="dxa" w:w="1700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نسبة الحدوث</w:t>
            </w:r>
          </w:p>
        </w:tc>
        <w:tc>
          <w:tcPr>
            <w:tcW w:type="dxa" w:w="2627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التسمية المميزة / الملاحظة</w:t>
            </w:r>
          </w:p>
        </w:tc>
      </w:tr>
      <w:tr>
        <w:trPr>
          <w:cantSplit/>
          <w:tblHeader w:val="false"/>
        </w:trPr>
        <w:tc>
          <w:tcPr>
            <w:tcW w:type="dxa" w:w="2295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النازل الأمامي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(LAD)</w:t>
            </w:r>
          </w:p>
        </w:tc>
        <w:tc>
          <w:tcPr>
            <w:tcW w:type="dxa" w:w="24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الجزء الأول (أول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rtl w:val="false"/>
                <w:lang w:val="en-US" w:bidi="ar-SA"/>
              </w:rPr>
              <w:t xml:space="preserve">‎1‎-‎2‎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سم من بدايته)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‎45%‎ - ‎65%‎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(الأشيع)</w:t>
            </w:r>
          </w:p>
        </w:tc>
        <w:tc>
          <w:tcPr>
            <w:tcW w:type="dxa" w:w="26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يُسمى 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"صانع الأرامل"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(Widow Maker)</w:t>
            </w:r>
          </w:p>
        </w:tc>
      </w:tr>
      <w:tr>
        <w:trPr>
          <w:cantSplit/>
          <w:tblHeader w:val="false"/>
        </w:trPr>
        <w:tc>
          <w:tcPr>
            <w:tcW w:type="dxa" w:w="2295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الإكليلي الأيمن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(RCA)</w:t>
            </w:r>
          </w:p>
        </w:tc>
        <w:tc>
          <w:tcPr>
            <w:tcW w:type="dxa" w:w="2448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عند الحافة اليمنى وبدايته</w:t>
            </w:r>
          </w:p>
        </w:tc>
        <w:tc>
          <w:tcPr>
            <w:tcW w:type="dxa" w:w="1700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‎25%‎ - ‎35%‎</w:t>
            </w:r>
          </w:p>
        </w:tc>
        <w:tc>
          <w:tcPr>
            <w:tcW w:type="dxa" w:w="2627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يتمادى غالباً بالنازل الخلفي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rtl w:val="false"/>
                <w:lang w:val="en-US" w:bidi="ar-SA"/>
              </w:rPr>
              <w:t xml:space="preserve">(Dominant)</w:t>
            </w:r>
          </w:p>
        </w:tc>
      </w:tr>
      <w:tr>
        <w:trPr>
          <w:cantSplit/>
          <w:tblHeader w:val="false"/>
        </w:trPr>
        <w:tc>
          <w:tcPr>
            <w:tcW w:type="dxa" w:w="2295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الشريان المنعكس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(LCx)</w:t>
            </w:r>
          </w:p>
        </w:tc>
        <w:tc>
          <w:tcPr>
            <w:tcW w:type="dxa" w:w="24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عند بدايات الشريان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‎5%‎ - ‎10%‎</w:t>
            </w:r>
          </w:p>
        </w:tc>
        <w:tc>
          <w:tcPr>
            <w:tcW w:type="dxa" w:w="26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ينشأ من الجذع الأيسر</w:t>
            </w:r>
          </w:p>
        </w:tc>
      </w:tr>
      <w:tr>
        <w:trPr>
          <w:cantSplit/>
          <w:tblHeader w:val="false"/>
        </w:trPr>
        <w:tc>
          <w:tcPr>
            <w:tcW w:type="dxa" w:w="2295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جذع الإكليلي الأيسر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(Trunk)</w:t>
            </w:r>
          </w:p>
        </w:tc>
        <w:tc>
          <w:tcPr>
            <w:tcW w:type="dxa" w:w="2448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بعد مخرجه المباشر</w:t>
            </w:r>
          </w:p>
        </w:tc>
        <w:tc>
          <w:tcPr>
            <w:tcW w:type="dxa" w:w="1700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‎1%‎ - ‎10%‎</w:t>
            </w:r>
          </w:p>
        </w:tc>
        <w:tc>
          <w:tcPr>
            <w:tcW w:type="dxa" w:w="2627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يبلغ طوله الأصلي (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rtl w:val="false"/>
                <w:lang w:val="en-US" w:bidi="ar-SA"/>
              </w:rPr>
              <w:t xml:space="preserve">‎1‎-‎2‎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سم)</w:t>
            </w:r>
          </w:p>
        </w:tc>
      </w:tr>
    </w:tbl>
    <w:p>
      <w:pPr>
        <w:spacing w:after="120" w:before="0" w:line="200"/>
      </w:pP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‎4.‎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أمراض الشرايين الإكليلية غير العصيدية (المسببة لموت الشباب)</w:t>
      </w:r>
    </w:p>
    <w:p>
      <w:pPr>
        <w:keepNext/>
        <w:bidi/>
        <w:spacing w:after="100" w:before="0" w:line="360" w:lineRule="auto"/>
        <w:jc w:val="both"/>
      </w:pP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تصلب الشرايين شائع بعد سن الثلاثين، بينما تُعزى الوفاة المفاجئة الإكليلية لدى الشباب (دون سن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30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) إلى حالات أخرى:</w:t>
      </w:r>
    </w:p>
    <w:p>
      <w:pPr>
        <w:pStyle w:val="Heading4"/>
        <w:keepNext/>
        <w:bidi/>
        <w:spacing w:after="80" w:before="200" w:line="300" w:lineRule="auto"/>
      </w:pPr>
      <w:r>
        <w:rPr>
          <w:rFonts w:ascii="Times New Roman" w:cs="Simplified Arabic" w:eastAsia="Simplified Arabic" w:hAnsi="Times New Roman"/>
          <w:b/>
          <w:bCs/>
          <w:color w:val="8A5E12"/>
          <w:sz w:val="26"/>
          <w:szCs w:val="26"/>
          <w:rtl/>
          <w:lang w:val="ar-SA" w:bidi="ar-SA"/>
        </w:rPr>
        <w:t xml:space="preserve">أ. الجسور الإكليلية </w:t>
      </w:r>
      <w:r>
        <w:rPr>
          <w:rFonts w:ascii="Times New Roman" w:cs="Times New Roman" w:eastAsia="Times New Roman" w:hAnsi="Times New Roman"/>
          <w:b/>
          <w:bCs/>
          <w:color w:val="8A5E12"/>
          <w:sz w:val="26"/>
          <w:szCs w:val="26"/>
          <w:rtl w:val="false"/>
          <w:lang w:val="en-US" w:bidi="ar-SA"/>
        </w:rPr>
        <w:t xml:space="preserve">(Myocardial Bridging / Bridging)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التشريح والمرض: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الشرايين الإكليلية تسير طبيعياً على سطح القلب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(Epicardium)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. في حالة الجسور الإكليلية، يغوص الشريان النازل الأمامي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(LAD)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داخل عمق العضلة القلبية.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الآلية الفيزيولوجية: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أثناء الانقباض السيني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(Systole)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ينضغط الشريان. وبما أن العضلة القلبية تتغذى أساساً أثناء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الانبساط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(Diastole)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، فإن الحالة تكون سليمة في الراحة.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آلية الموت المفاجئ: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عند ممارسة الجهد الفيزيائي الشديد، يقل زمن الانبساط القلبية بدرجة كبيرة، مما يؤدي إلى نقص تروية حاد ينجم عنه اضطراب نظم قاتل وموت مفاجئ.</w:t>
      </w:r>
    </w:p>
    <w:p>
      <w:pPr>
        <w:pStyle w:val="Heading4"/>
        <w:keepNext/>
        <w:bidi/>
        <w:spacing w:after="80" w:before="200" w:line="300" w:lineRule="auto"/>
      </w:pPr>
      <w:r>
        <w:rPr>
          <w:rFonts w:ascii="Times New Roman" w:cs="Simplified Arabic" w:eastAsia="Simplified Arabic" w:hAnsi="Times New Roman"/>
          <w:b/>
          <w:bCs/>
          <w:color w:val="8A5E12"/>
          <w:sz w:val="26"/>
          <w:szCs w:val="26"/>
          <w:rtl/>
          <w:lang w:val="ar-SA" w:bidi="ar-SA"/>
        </w:rPr>
        <w:t xml:space="preserve">ب. التشوهات الولادية في الشرايين الإكليلية </w:t>
      </w:r>
      <w:r>
        <w:rPr>
          <w:rFonts w:ascii="Times New Roman" w:cs="Times New Roman" w:eastAsia="Times New Roman" w:hAnsi="Times New Roman"/>
          <w:b/>
          <w:bCs/>
          <w:color w:val="8A5E12"/>
          <w:sz w:val="26"/>
          <w:szCs w:val="26"/>
          <w:rtl w:val="false"/>
          <w:lang w:val="en-US" w:bidi="ar-SA"/>
        </w:rPr>
        <w:t xml:space="preserve">(Congenital Coronary Anomalies)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المفهوم: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خروج الشرايين الإكليلية من غير مواقعها التشريحية الطبيعية (مثل خروج الشريان الأيسر والأيمن من فتحة واحدة فوق الوريقة الدسامية اليمنى وتغير مساره).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الفئة المستهدفة: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تُسبب الموت المفاجئ لدى الشباب بعمر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18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إلى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25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سنة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(خاصة بين الرياضيين والعساكر أثناء التدريبات القاسية).</w:t>
      </w:r>
    </w:p>
    <w:p>
      <w:pPr>
        <w:pStyle w:val="Heading4"/>
        <w:keepNext/>
        <w:bidi/>
        <w:spacing w:after="80" w:before="200" w:line="300" w:lineRule="auto"/>
      </w:pPr>
      <w:r>
        <w:rPr>
          <w:rFonts w:ascii="Times New Roman" w:cs="Simplified Arabic" w:eastAsia="Simplified Arabic" w:hAnsi="Times New Roman"/>
          <w:b/>
          <w:bCs/>
          <w:color w:val="8A5E12"/>
          <w:sz w:val="26"/>
          <w:szCs w:val="26"/>
          <w:rtl/>
          <w:lang w:val="ar-SA" w:bidi="ar-SA"/>
        </w:rPr>
        <w:t xml:space="preserve">ج. أم الدم المسلخة في الشرايين الإكليلية </w:t>
      </w:r>
      <w:r>
        <w:rPr>
          <w:rFonts w:ascii="Times New Roman" w:cs="Times New Roman" w:eastAsia="Times New Roman" w:hAnsi="Times New Roman"/>
          <w:b/>
          <w:bCs/>
          <w:color w:val="8A5E12"/>
          <w:sz w:val="26"/>
          <w:szCs w:val="26"/>
          <w:rtl w:val="false"/>
          <w:lang w:val="en-US" w:bidi="ar-SA"/>
        </w:rPr>
        <w:t xml:space="preserve">(Coronary Artery Dissection)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النمط الثانوي: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ناجم عن امتيداد تسلخ الشريان الأبهر الصاعد، أو ناجم عن رد مباشر على الصدر، أو خطأ رضي أثناء عمليات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قسطرة الشرايين الإكليلية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.</w:t>
      </w:r>
    </w:p>
    <w:p>
      <w:pPr>
        <w:pStyle w:val="ListParagraph"/>
        <w:keepNext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النمط العفوي البدئي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(Spontaneous Dissection)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:</w:t>
      </w:r>
    </w:p>
    <w:p>
      <w:pPr>
        <w:pStyle w:val="ListParagraph"/>
        <w:numPr>
          <w:ilvl w:val="1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يحدث بنسبة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‎80%‎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لدى النساء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.</w:t>
      </w:r>
    </w:p>
    <w:p>
      <w:pPr>
        <w:pBdr>
          <w:top w:val="single" w:color="BF9000" w:sz="8" w:space="4"/>
          <w:bottom w:val="single" w:color="BF9000" w:sz="8" w:space="4"/>
          <w:left w:val="single" w:color="BF9000" w:sz="8" w:space="4"/>
          <w:right w:val="single" w:color="BF9000" w:sz="8" w:space="4"/>
        </w:pBdr>
        <w:shd w:fill="FFF2CC" w:color="auto" w:val="clear"/>
        <w:bidi/>
        <w:spacing w:after="140" w:before="80" w:line="360" w:lineRule="auto"/>
        <w:ind w:start="500" w:end="100" w:left="500" w:right="100"/>
        <w:jc w:val="both"/>
      </w:pPr>
      <w:r>
        <w:rPr>
          <w:rFonts w:ascii="Times New Roman" w:cs="Simplified Arabic" w:eastAsia="Simplified Arabic" w:hAnsi="Times New Roman"/>
          <w:b/>
          <w:bCs/>
          <w:color w:val="FFFFFF"/>
          <w:sz w:val="24"/>
          <w:szCs w:val="24"/>
          <w:shd w:fill="C00000" w:color="auto" w:val="clear"/>
          <w:rtl/>
          <w:lang w:val="ar-SA" w:bidi="ar-SA"/>
        </w:rPr>
        <w:t xml:space="preserve">[هام جداً]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التوقيت الخطر لحدث أم الدم المسلخة العفوية: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تظهر حصراً خلال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فترة النفاس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، والشهر الأخير قبل الولادة، والأشهر الأولى بعد الولادة.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‎5.‎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جدول مقارنة: الأسباب الإكليلية للموت المفاجئ عند الشباب (دون </w:t>
      </w: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30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سنة)</w:t>
      </w:r>
    </w:p>
    <w:tbl>
      <w:tblPr>
        <w:bidiVisual/>
        <w:tblW w:type="dxa" w:w="9070"/>
        <w:tblBorders>
          <w:top w:val="single" w:color="D9C49A" w:sz="6"/>
          <w:left w:val="single" w:color="D9C49A" w:sz="6"/>
          <w:bottom w:val="single" w:color="D9C49A" w:sz="6"/>
          <w:right w:val="single" w:color="D9C49A" w:sz="6"/>
          <w:insideH w:val="single" w:color="D9C49A" w:sz="4"/>
          <w:insideV w:val="single" w:color="D9C49A" w:sz="4"/>
        </w:tblBorders>
        <w:tblLayout w:type="fixed"/>
      </w:tblPr>
      <w:tblGrid>
        <w:gridCol w:w="1828"/>
        <w:gridCol w:w="3114"/>
        <w:gridCol w:w="4128"/>
      </w:tblGrid>
      <w:tr>
        <w:trPr>
          <w:cantSplit/>
          <w:tblHeader/>
        </w:trPr>
        <w:tc>
          <w:tcPr>
            <w:tcW w:type="dxa" w:w="1828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المرض الإكليلي</w:t>
            </w:r>
          </w:p>
        </w:tc>
        <w:tc>
          <w:tcPr>
            <w:tcW w:type="dxa" w:w="3114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الآلية والمظهر التشريحي</w:t>
            </w:r>
          </w:p>
        </w:tc>
        <w:tc>
          <w:tcPr>
            <w:tcW w:type="dxa" w:w="4128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الفئة الأكثر عرضة / ظروف الحدوث</w:t>
            </w:r>
          </w:p>
        </w:tc>
      </w:tr>
      <w:tr>
        <w:trPr>
          <w:cantSplit/>
          <w:tblHeader w:val="false"/>
        </w:trPr>
        <w:tc>
          <w:tcPr>
            <w:tcW w:type="dxa" w:w="1828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الجسور الإكليلية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(Bridging)</w:t>
            </w:r>
          </w:p>
        </w:tc>
        <w:tc>
          <w:tcPr>
            <w:tcW w:type="dxa" w:w="31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انغماس الشريان الإكليلي في عمق العضلة القلبية</w:t>
            </w:r>
          </w:p>
        </w:tc>
        <w:tc>
          <w:tcPr>
            <w:tcW w:type="dxa" w:w="41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تحدث الوفاة أثناء 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الجهد الفيزيائي الشديد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(نقص زمن الانبساط)</w:t>
            </w:r>
          </w:p>
        </w:tc>
      </w:tr>
      <w:tr>
        <w:trPr>
          <w:cantSplit/>
          <w:tblHeader w:val="false"/>
        </w:trPr>
        <w:tc>
          <w:tcPr>
            <w:tcW w:type="dxa" w:w="1828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التشوهات الولادية</w:t>
            </w:r>
          </w:p>
        </w:tc>
        <w:tc>
          <w:tcPr>
            <w:tcW w:type="dxa" w:w="3114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شذوذ منشأ ومسار الشرايين الإكليلية</w:t>
            </w:r>
          </w:p>
        </w:tc>
        <w:tc>
          <w:tcPr>
            <w:tcW w:type="dxa" w:w="4128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الشباب بعمر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‎18‎-‎25‎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 سنة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(الرياضيون والعساكر)</w:t>
            </w:r>
          </w:p>
        </w:tc>
      </w:tr>
      <w:tr>
        <w:trPr>
          <w:cantSplit/>
          <w:tblHeader w:val="false"/>
        </w:trPr>
        <w:tc>
          <w:tcPr>
            <w:tcW w:type="dxa" w:w="1828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أم الدم المسلخة العفوية</w:t>
            </w:r>
          </w:p>
        </w:tc>
        <w:tc>
          <w:tcPr>
            <w:tcW w:type="dxa" w:w="31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تسلخ تلقائي في جدار الشريان الإكليلي</w:t>
            </w:r>
          </w:p>
        </w:tc>
        <w:tc>
          <w:tcPr>
            <w:tcW w:type="dxa" w:w="41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النساء (بنسبة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‎80%‎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)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خلال 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فترة النفاس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وما حول الولادة</w:t>
            </w:r>
          </w:p>
        </w:tc>
      </w:tr>
    </w:tbl>
    <w:p>
      <w:pPr>
        <w:spacing w:after="120" w:before="0" w:line="200"/>
      </w:pPr>
    </w:p>
    <w:p>
      <w:pPr>
        <w:pStyle w:val="Heading2"/>
        <w:keepNext/>
        <w:pBdr>
          <w:top w:val="single" w:color="F6EEDF" w:sz="4"/>
          <w:bottom w:val="thick" w:color="A9761E" w:sz="18" w:space="2"/>
          <w:left w:val="single" w:color="F6EEDF" w:sz="4"/>
          <w:right w:val="single" w:color="F6EEDF" w:sz="4"/>
        </w:pBdr>
        <w:shd w:fill="F6EEDF" w:color="auto" w:val="clear"/>
        <w:bidi/>
        <w:spacing w:after="160" w:before="320" w:line="300" w:lineRule="auto"/>
      </w:pPr>
      <w:r>
        <w:rPr>
          <w:rFonts w:ascii="Times New Roman" w:cs="Simplified Arabic" w:eastAsia="Simplified Arabic" w:hAnsi="Times New Roman"/>
          <w:b/>
          <w:bCs/>
          <w:color w:val="141B2E"/>
          <w:sz w:val="30"/>
          <w:szCs w:val="30"/>
          <w:rtl/>
          <w:lang w:val="ar-SA" w:bidi="ar-SA"/>
        </w:rPr>
        <w:t xml:space="preserve">خامساً: أمراض واعتلالات العضلة القلبية </w:t>
      </w:r>
      <w:r>
        <w:rPr>
          <w:rFonts w:ascii="Times New Roman" w:cs="Times New Roman" w:eastAsia="Times New Roman" w:hAnsi="Times New Roman"/>
          <w:b/>
          <w:bCs/>
          <w:color w:val="141B2E"/>
          <w:sz w:val="30"/>
          <w:szCs w:val="30"/>
          <w:rtl w:val="false"/>
          <w:lang w:val="en-US" w:bidi="ar-SA"/>
        </w:rPr>
        <w:t xml:space="preserve">(Cardiomyopathies)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‎1.‎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التعريف الأكاديمي لإعتلال العضلة القلبية</w:t>
      </w:r>
    </w:p>
    <w:p>
      <w:pPr>
        <w:pBdr>
          <w:top w:val="single" w:color="BF9000" w:sz="8" w:space="4"/>
          <w:bottom w:val="single" w:color="BF9000" w:sz="8" w:space="4"/>
          <w:left w:val="single" w:color="BF9000" w:sz="8" w:space="4"/>
          <w:right w:val="single" w:color="BF9000" w:sz="8" w:space="4"/>
        </w:pBdr>
        <w:shd w:fill="FFF2CC" w:color="auto" w:val="clear"/>
        <w:bidi/>
        <w:spacing w:after="140" w:before="80" w:line="360" w:lineRule="auto"/>
        <w:ind w:start="100" w:end="100" w:left="100" w:right="100"/>
        <w:jc w:val="both"/>
      </w:pPr>
      <w:r>
        <w:rPr>
          <w:rFonts w:ascii="Times New Roman" w:cs="Simplified Arabic" w:eastAsia="Simplified Arabic" w:hAnsi="Times New Roman"/>
          <w:b/>
          <w:bCs/>
          <w:color w:val="FFFFFF"/>
          <w:sz w:val="24"/>
          <w:szCs w:val="24"/>
          <w:shd w:fill="C00000" w:color="auto" w:val="clear"/>
          <w:rtl/>
          <w:lang w:val="ar-SA" w:bidi="ar-SA"/>
        </w:rPr>
        <w:t xml:space="preserve">[هام جداً]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تعريف اعتلال العضلة القلبية: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هو اضطراب وظيفي وبنيوي في العضلة القلبية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غير ناجم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عن ارتفاع الضغط الشرياني، ولا عن نقص التروية الإكليلي، ولا عن أمراض الصمامات القلبية، ولا عن التشوهات الولادية البنيوية.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‎2.‎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أنواع اعتلالات العضلة القلبية الرئيسية الثلاثة</w:t>
      </w:r>
    </w:p>
    <w:p>
      <w:pPr>
        <w:pStyle w:val="Heading4"/>
        <w:keepNext/>
        <w:bidi/>
        <w:spacing w:after="80" w:before="200" w:line="300" w:lineRule="auto"/>
      </w:pPr>
      <w:r>
        <w:rPr>
          <w:rFonts w:ascii="Times New Roman" w:cs="Simplified Arabic" w:eastAsia="Simplified Arabic" w:hAnsi="Times New Roman"/>
          <w:b/>
          <w:bCs/>
          <w:color w:val="8A5E12"/>
          <w:sz w:val="26"/>
          <w:szCs w:val="26"/>
          <w:rtl/>
          <w:lang w:val="ar-SA" w:bidi="ar-SA"/>
        </w:rPr>
        <w:t xml:space="preserve">أ. الاعتلال التوسعي الاحتقاني </w:t>
      </w:r>
      <w:r>
        <w:rPr>
          <w:rFonts w:ascii="Times New Roman" w:cs="Times New Roman" w:eastAsia="Times New Roman" w:hAnsi="Times New Roman"/>
          <w:b/>
          <w:bCs/>
          <w:color w:val="8A5E12"/>
          <w:sz w:val="26"/>
          <w:szCs w:val="26"/>
          <w:rtl w:val="false"/>
          <w:lang w:val="en-US" w:bidi="ar-SA"/>
        </w:rPr>
        <w:t xml:space="preserve">(Dilated / Congestive Cardiomyopathy)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المظاهر التشريحية: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توسع وتضخم كبير في جميع حجرات القلب (البطينين والاذينين)، حيث قد يصل وزن القلب إلى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‎700‎ - ‎1000‎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غرام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(الوزن الطبيعي نحو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300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غرام).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آلية الوفاة: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حدوث رجفان بطيني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(Ventricular Fibrillation)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واضطرابات نظم قاتلة.</w:t>
      </w:r>
    </w:p>
    <w:p>
      <w:pPr>
        <w:pStyle w:val="ListParagraph"/>
        <w:keepNext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الأسباب الرئيسية:</w:t>
      </w:r>
    </w:p>
    <w:tbl>
      <w:tblPr>
        <w:bidiVisual/>
        <w:tblW w:type="dxa" w:w="8670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20"/>
        <w:gridCol w:w="8050"/>
      </w:tblGrid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1.</w:t>
            </w:r>
          </w:p>
        </w:tc>
        <w:tc>
          <w:tcPr>
            <w:tcW w:type="dxa" w:w="8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الكحولية المزمنة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(Chronic Alcoholism)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تُعد السبب الأكثر أهمية وشيوعاً.</w:t>
            </w:r>
          </w:p>
        </w:tc>
      </w:tr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2.</w:t>
            </w:r>
          </w:p>
        </w:tc>
        <w:tc>
          <w:tcPr>
            <w:tcW w:type="dxa" w:w="8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السموم والادوية: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التعرض لمادة الكوبالت (المضافة للكحول)، أو عقار 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الأدريامايسين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(Adriamycin)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المستخدم في علاج السرطانات.</w:t>
            </w:r>
          </w:p>
        </w:tc>
      </w:tr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3.</w:t>
            </w:r>
          </w:p>
        </w:tc>
        <w:tc>
          <w:tcPr>
            <w:tcW w:type="dxa" w:w="8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اعتلال فترة النفاس: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يحدث لدى النساء خلال فترة النفاس وحتى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false"/>
                <w:lang w:val="en-US" w:bidi="ar-SA"/>
              </w:rPr>
              <w:t xml:space="preserve">6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أشهر بعد الولادة (وغالبيتهن يشفين بعد سنة).</w:t>
            </w:r>
          </w:p>
        </w:tc>
      </w:tr>
    </w:tbl>
    <w:p>
      <w:pPr>
        <w:spacing w:after="60" w:before="0" w:line="120"/>
      </w:pPr>
    </w:p>
    <w:p>
      <w:pPr>
        <w:pStyle w:val="Heading4"/>
        <w:keepNext/>
        <w:bidi/>
        <w:spacing w:after="80" w:before="200" w:line="300" w:lineRule="auto"/>
      </w:pPr>
      <w:r>
        <w:rPr>
          <w:rFonts w:ascii="Times New Roman" w:cs="Simplified Arabic" w:eastAsia="Simplified Arabic" w:hAnsi="Times New Roman"/>
          <w:b/>
          <w:bCs/>
          <w:color w:val="8A5E12"/>
          <w:sz w:val="26"/>
          <w:szCs w:val="26"/>
          <w:rtl/>
          <w:lang w:val="ar-SA" w:bidi="ar-SA"/>
        </w:rPr>
        <w:t xml:space="preserve">ب. الاعتلال الضخامي </w:t>
      </w:r>
      <w:r>
        <w:rPr>
          <w:rFonts w:ascii="Times New Roman" w:cs="Times New Roman" w:eastAsia="Times New Roman" w:hAnsi="Times New Roman"/>
          <w:b/>
          <w:bCs/>
          <w:color w:val="8A5E12"/>
          <w:sz w:val="26"/>
          <w:szCs w:val="26"/>
          <w:rtl w:val="false"/>
          <w:lang w:val="en-US" w:bidi="ar-SA"/>
        </w:rPr>
        <w:t xml:space="preserve">(Hypertrophic Cardiomyopathy - HCM)</w:t>
      </w:r>
    </w:p>
    <w:p>
      <w:pPr>
        <w:pBdr>
          <w:top w:val="single" w:color="BF9000" w:sz="8" w:space="4"/>
          <w:bottom w:val="single" w:color="BF9000" w:sz="8" w:space="4"/>
          <w:left w:val="single" w:color="BF9000" w:sz="8" w:space="4"/>
          <w:right w:val="single" w:color="BF9000" w:sz="8" w:space="4"/>
        </w:pBdr>
        <w:shd w:fill="FFF2CC" w:color="auto" w:val="clear"/>
        <w:bidi/>
        <w:spacing w:after="140" w:before="80" w:line="360" w:lineRule="auto"/>
        <w:ind w:start="100" w:end="100" w:left="100" w:right="100"/>
        <w:jc w:val="both"/>
      </w:pPr>
      <w:r>
        <w:rPr>
          <w:rFonts w:ascii="Times New Roman" w:cs="Simplified Arabic" w:eastAsia="Simplified Arabic" w:hAnsi="Times New Roman"/>
          <w:b/>
          <w:bCs/>
          <w:color w:val="FFFFFF"/>
          <w:sz w:val="24"/>
          <w:szCs w:val="24"/>
          <w:shd w:fill="C00000" w:color="auto" w:val="clear"/>
          <w:rtl/>
          <w:lang w:val="ar-SA" w:bidi="ar-SA"/>
        </w:rPr>
        <w:t xml:space="preserve">[هام جداً]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الصفة الوراثية للاعتلال الضخامي: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يُعد هذا النوع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مرضاً عائلياً وراثياً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(Familial)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بامتياز. عند تشخيص حالة وفاة بهذا المرض أثناء التشريح، يتوجب حتماً فحص أشقاء وأقارب المتوفى.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المظهر التشريحي: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ضخامة شديدة غير متناظرة في جدران البطين والحاجز بين البطينين (خاصة المنطقة تحت الأبهرية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Subaortic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الأهمية: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يُعد من أهم أسباب الموت المفاجئ لدى الشباب والرياضيين.</w:t>
      </w:r>
    </w:p>
    <w:p>
      <w:pPr>
        <w:pStyle w:val="Heading4"/>
        <w:keepNext/>
        <w:bidi/>
        <w:spacing w:after="80" w:before="200" w:line="300" w:lineRule="auto"/>
      </w:pPr>
      <w:r>
        <w:rPr>
          <w:rFonts w:ascii="Times New Roman" w:cs="Simplified Arabic" w:eastAsia="Simplified Arabic" w:hAnsi="Times New Roman"/>
          <w:b/>
          <w:bCs/>
          <w:color w:val="8A5E12"/>
          <w:sz w:val="26"/>
          <w:szCs w:val="26"/>
          <w:rtl/>
          <w:lang w:val="ar-SA" w:bidi="ar-SA"/>
        </w:rPr>
        <w:t xml:space="preserve">ج. الاعتلال الحاصر </w:t>
      </w:r>
      <w:r>
        <w:rPr>
          <w:rFonts w:ascii="Times New Roman" w:cs="Times New Roman" w:eastAsia="Times New Roman" w:hAnsi="Times New Roman"/>
          <w:b/>
          <w:bCs/>
          <w:color w:val="8A5E12"/>
          <w:sz w:val="26"/>
          <w:szCs w:val="26"/>
          <w:rtl w:val="false"/>
          <w:lang w:val="en-US" w:bidi="ar-SA"/>
        </w:rPr>
        <w:t xml:space="preserve">(Restrictive Cardiomyopathy)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الآلية: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ناجم عن ارتشاح العضلة القلبية بمواد غريبة مثل (الداء النشاواني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Amyloidosis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، الساركويئيد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Sarcoidosis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، أو أدواء تخزين الجليكوجين).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الموقف الطبي الشرعي: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مرضي مزمن بطيء،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لا يسبب الموت المفاجئ إطلاقاً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ولا يشكل أهمية في ممارسة الطب الشرعي.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‎3.‎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جدول مقارنة: أنواع اعتلالات العضلة القلبية الثلاثة</w:t>
      </w:r>
    </w:p>
    <w:tbl>
      <w:tblPr>
        <w:bidiVisual/>
        <w:tblW w:type="dxa" w:w="9070"/>
        <w:tblBorders>
          <w:top w:val="single" w:color="D9C49A" w:sz="6"/>
          <w:left w:val="single" w:color="D9C49A" w:sz="6"/>
          <w:bottom w:val="single" w:color="D9C49A" w:sz="6"/>
          <w:right w:val="single" w:color="D9C49A" w:sz="6"/>
          <w:insideH w:val="single" w:color="D9C49A" w:sz="4"/>
          <w:insideV w:val="single" w:color="D9C49A" w:sz="4"/>
        </w:tblBorders>
        <w:tblLayout w:type="fixed"/>
      </w:tblPr>
      <w:tblGrid>
        <w:gridCol w:w="1700"/>
        <w:gridCol w:w="2754"/>
        <w:gridCol w:w="2439"/>
        <w:gridCol w:w="2177"/>
      </w:tblGrid>
      <w:tr>
        <w:trPr>
          <w:cantSplit/>
          <w:tblHeader/>
        </w:trPr>
        <w:tc>
          <w:tcPr>
            <w:tcW w:type="dxa" w:w="1700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نوع الاعتلال</w:t>
            </w:r>
          </w:p>
        </w:tc>
        <w:tc>
          <w:tcPr>
            <w:tcW w:type="dxa" w:w="2754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التغير التشريحي البارز</w:t>
            </w:r>
          </w:p>
        </w:tc>
        <w:tc>
          <w:tcPr>
            <w:tcW w:type="dxa" w:w="2439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المسبب الرئيسي</w:t>
            </w:r>
          </w:p>
        </w:tc>
        <w:tc>
          <w:tcPr>
            <w:tcW w:type="dxa" w:w="2177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إمكانية التسبب بالموت المفاجئ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التوسعي الاحتقاني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(Dilated)</w:t>
            </w:r>
          </w:p>
        </w:tc>
        <w:tc>
          <w:tcPr>
            <w:tcW w:type="dxa" w:w="275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توسع كافة الحجرات وزيادة الوزن (حتى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rtl w:val="false"/>
                <w:lang w:val="en-US" w:bidi="ar-SA"/>
              </w:rPr>
              <w:t xml:space="preserve">1000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غ)</w:t>
            </w:r>
          </w:p>
        </w:tc>
        <w:tc>
          <w:tcPr>
            <w:tcW w:type="dxa" w:w="243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الكحولية المزمنة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، أدوية السرطان (الأدريامايسين)، والنفاس</w:t>
            </w:r>
          </w:p>
        </w:tc>
        <w:tc>
          <w:tcPr>
            <w:tcW w:type="dxa" w:w="217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نعم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(رجفان بطيني واضطراب نظم)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الضخامي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(Hypertrophic)</w:t>
            </w:r>
          </w:p>
        </w:tc>
        <w:tc>
          <w:tcPr>
            <w:tcW w:type="dxa" w:w="2754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ضخامة جدار البطين والحاجز تحت الأبهري</w:t>
            </w:r>
          </w:p>
        </w:tc>
        <w:tc>
          <w:tcPr>
            <w:tcW w:type="dxa" w:w="2439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وراثي عائلي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(Familial)</w:t>
            </w:r>
          </w:p>
        </w:tc>
        <w:tc>
          <w:tcPr>
            <w:tcW w:type="dxa" w:w="2177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نعم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(أهم أسباب موت الرياضيين)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الحاصر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(Restrictive)</w:t>
            </w:r>
          </w:p>
        </w:tc>
        <w:tc>
          <w:tcPr>
            <w:tcW w:type="dxa" w:w="275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ارتشاح النسيج بالنشاواني أو الساركويئيد</w:t>
            </w:r>
          </w:p>
        </w:tc>
        <w:tc>
          <w:tcPr>
            <w:tcW w:type="dxa" w:w="243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أمراض ارتشاحية وتخزينية مزمنة</w:t>
            </w:r>
          </w:p>
        </w:tc>
        <w:tc>
          <w:tcPr>
            <w:tcW w:type="dxa" w:w="217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لا يسبب الموت المفاجئ</w:t>
            </w:r>
          </w:p>
        </w:tc>
      </w:tr>
    </w:tbl>
    <w:p>
      <w:pPr>
        <w:spacing w:after="120" w:before="0" w:line="200"/>
      </w:pPr>
    </w:p>
    <w:p>
      <w:pPr>
        <w:pBdr>
          <w:top w:val="dashed" w:color="A9761E" w:sz="6" w:space="5"/>
          <w:bottom w:val="dashed" w:color="A9761E" w:sz="6" w:space="5"/>
          <w:left w:val="dashed" w:color="A9761E" w:sz="6" w:space="5"/>
          <w:right w:val="dashed" w:color="A9761E" w:sz="6" w:space="5"/>
        </w:pBdr>
        <w:shd w:fill="EAF3F0" w:color="auto" w:val="clear"/>
        <w:bidi/>
        <w:spacing w:after="120" w:before="240" w:line="360" w:lineRule="auto"/>
        <w:jc w:val="both"/>
      </w:pPr>
      <w:r>
        <w:rPr>
          <w:rFonts w:ascii="Segoe UI Emoji" w:cs="Segoe UI Emoji" w:hAnsi="Segoe UI Emoji"/>
          <w:sz w:val="24"/>
          <w:szCs w:val="24"/>
          <w:rtl w:val="false"/>
          <w:lang w:val="en-US" w:bidi="ar-SA"/>
        </w:rPr>
        <w:t xml:space="preserve">💡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هل ترغب في تحويل هذا التفريغ النصي إلى بطاقات استذكار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(Flashcards)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للمراجعة السريعة، أو إنشاء اختبار تفاعلي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(Quiz)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لتأكيد الفهم؟</w:t>
      </w:r>
    </w:p>
    <w:sectPr>
      <w:headerReference w:type="default" r:id="rId11"/>
      <w:footerReference w:type="default" r:id="rId12"/>
      <w:pgSz w:w="11906" w:h="16838" w:orient="portrait"/>
      <w:pgMar w:top="1418" w:right="1418" w:bottom="1418" w:left="1418" w:header="709" w:footer="709" w:gutter="0"/>
      <w:pgNumType w:start="1" w:fmt="decimal"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hd w:fill="FFFFFF" w:color="auto" w:val="clear"/>
      <w:bidi/>
      <w:spacing w:after="60"/>
      <w:jc w:val="center"/>
    </w:pPr>
    <w:r>
      <w:rPr>
        <w:rFonts w:ascii="Times New Roman" w:cs="Times New Roman" w:eastAsia="Times New Roman" w:hAnsi="Times New Roman"/>
        <w:b/>
        <w:bCs/>
        <w:color w:val="A9761E"/>
        <w:sz w:val="46"/>
        <w:szCs w:val="46"/>
        <w:rtl w:val="false"/>
        <w:lang w:val="en-US" w:bidi="ar-SA"/>
      </w:rPr>
      <w:t xml:space="preserve">Random.MEd</w:t>
    </w:r>
  </w:p>
  <w:p>
    <w:pPr>
      <w:shd w:fill="FFFFFF" w:color="auto" w:val="clear"/>
      <w:bidi/>
      <w:spacing w:after="0"/>
      <w:jc w:val="center"/>
    </w:pPr>
    <w:r>
      <w:rPr>
        <w:rFonts w:ascii="Times New Roman" w:cs="Times New Roman" w:eastAsia="Times New Roman" w:hAnsi="Times New Roman"/>
        <w:color w:val="404040"/>
        <w:sz w:val="21"/>
        <w:szCs w:val="21"/>
        <w:rtl w:val="false"/>
        <w:lang w:val="en-US" w:bidi="ar-SA"/>
      </w:rPr>
      <w:t xml:space="preserve">© </w:t>
    </w:r>
    <w:r>
      <w:rPr>
        <w:rFonts w:ascii="Times New Roman" w:cs="Times New Roman" w:eastAsia="Times New Roman" w:hAnsi="Times New Roman"/>
        <w:color w:val="404040"/>
        <w:sz w:val="21"/>
        <w:szCs w:val="21"/>
        <w:rtl w:val="false"/>
        <w:lang w:val="en-US" w:bidi="ar-SA"/>
      </w:rPr>
      <w:t xml:space="preserve">2026 </w:t>
    </w:r>
    <w:r>
      <w:rPr>
        <w:rFonts w:ascii="Times New Roman" w:cs="Times New Roman" w:eastAsia="Times New Roman" w:hAnsi="Times New Roman"/>
        <w:b/>
        <w:bCs/>
        <w:color w:val="A9761E"/>
        <w:sz w:val="21"/>
        <w:szCs w:val="21"/>
        <w:rtl w:val="false"/>
        <w:lang w:val="en-US" w:bidi="ar-SA"/>
      </w:rPr>
      <w:t xml:space="preserve">Random.MEd</w:t>
    </w:r>
    <w:r>
      <w:rPr>
        <w:rFonts w:ascii="Times New Roman" w:cs="Simplified Arabic" w:eastAsia="Simplified Arabic" w:hAnsi="Times New Roman"/>
        <w:color w:val="404040"/>
        <w:sz w:val="21"/>
        <w:szCs w:val="21"/>
        <w:rtl/>
        <w:lang w:val="ar-SA" w:bidi="ar-SA"/>
      </w:rPr>
      <w:t xml:space="preserve"> — جميع الحقوق محفوظة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0" w:lineRule="exact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spacing w:after="0"/>
      <w:jc w:val="center"/>
    </w:pPr>
    <w:r>
      <w:rPr>
        <w:rFonts w:ascii="Times New Roman" w:cs="Simplified Arabic" w:eastAsia="Simplified Arabic" w:hAnsi="Times New Roman"/>
        <w:b/>
        <w:bCs/>
        <w:color w:val="141B2E"/>
        <w:sz w:val="20"/>
        <w:szCs w:val="20"/>
        <w:rtl/>
        <w:lang w:val="ar-SA" w:bidi="ar-SA"/>
      </w:rPr>
      <w:t xml:space="preserve">صفحة </w:t>
    </w:r>
    <w:r>
      <w:rPr>
        <w:rFonts w:ascii="Times New Roman" w:cs="Times New Roman" w:hAnsi="Times New Roman"/>
        <w:b/>
        <w:bCs/>
        <w:color w:val="A9761E"/>
        <w:sz w:val="22"/>
        <w:szCs w:val="22"/>
        <w:lang w:val="en-US"/>
      </w:rPr>
      <w:fldChar w:fldCharType="begin"/>
      <w:instrText xml:space="preserve">PAGE</w:instrText>
      <w:fldChar w:fldCharType="separate"/>
      <w:fldChar w:fldCharType="end"/>
    </w:r>
  </w:p>
  <w:p>
    <w:pPr>
      <w:bidi/>
      <w:spacing w:after="0" w:before="20"/>
      <w:jc w:val="center"/>
    </w:pPr>
    <w:r>
      <w:rPr>
        <w:rFonts w:ascii="Times New Roman" w:cs="Times New Roman" w:eastAsia="Times New Roman" w:hAnsi="Times New Roman"/>
        <w:color w:val="7F7F7F"/>
        <w:sz w:val="18"/>
        <w:szCs w:val="18"/>
        <w:rtl w:val="false"/>
        <w:lang w:val="en-US" w:bidi="ar-SA"/>
      </w:rPr>
      <w:t xml:space="preserve">© </w:t>
    </w:r>
    <w:r>
      <w:rPr>
        <w:rFonts w:ascii="Times New Roman" w:cs="Times New Roman" w:eastAsia="Times New Roman" w:hAnsi="Times New Roman"/>
        <w:color w:val="7F7F7F"/>
        <w:sz w:val="18"/>
        <w:szCs w:val="18"/>
        <w:rtl w:val="false"/>
        <w:lang w:val="en-US" w:bidi="ar-SA"/>
      </w:rPr>
      <w:t xml:space="preserve">2026 </w:t>
    </w:r>
    <w:r>
      <w:rPr>
        <w:rFonts w:ascii="Times New Roman" w:cs="Times New Roman" w:eastAsia="Times New Roman" w:hAnsi="Times New Roman"/>
        <w:b/>
        <w:bCs/>
        <w:color w:val="A9761E"/>
        <w:sz w:val="18"/>
        <w:szCs w:val="18"/>
        <w:rtl w:val="false"/>
        <w:lang w:val="en-US" w:bidi="ar-SA"/>
      </w:rPr>
      <w:t xml:space="preserve">Random.MEd</w:t>
    </w:r>
    <w:r>
      <w:rPr>
        <w:rFonts w:ascii="Times New Roman" w:cs="Simplified Arabic" w:eastAsia="Simplified Arabic" w:hAnsi="Times New Roman"/>
        <w:color w:val="7F7F7F"/>
        <w:sz w:val="18"/>
        <w:szCs w:val="18"/>
        <w:rtl/>
        <w:lang w:val="ar-SA" w:bidi="ar-SA"/>
      </w:rPr>
      <w:t xml:space="preserve"> — جميع الحقوق محفوظة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0" w:lineRule="exact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0" w:lineRule="exact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49A" w:sz="6" w:space="4"/>
      </w:pBdr>
      <w:bidi/>
      <w:spacing w:after="0"/>
    </w:pPr>
    <w:r>
      <w:drawing>
        <wp:anchor distT="0" distB="0" distL="0" distR="0" simplePos="0" allowOverlap="1" behindDoc="1" locked="0" layoutInCell="1" relativeHeight="304800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619500" cy="3048000"/>
          <wp:effectExtent t="0" r="0" b="0" l="0"/>
          <wp:wrapNone/>
          <wp:docPr id="2" name="watermark" descr="Random.MEd" title="علامة مائية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19500" cy="3048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0" distR="0">
          <wp:extent cx="228600" cy="190500"/>
          <wp:effectExtent t="0" r="0" b="0" l="0"/>
          <wp:docPr id="3" name="logo" descr="شعار Random.MEd" title="Random.M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8600" cy="190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Times New Roman" w:cs="Simplified Arabic" w:eastAsia="Simplified Arabic" w:hAnsi="Times New Roman"/>
        <w:sz w:val="20"/>
        <w:szCs w:val="20"/>
        <w:rtl/>
        <w:lang w:val="ar-SA" w:bidi="ar-SA"/>
      </w:rPr>
      <w:t xml:space="preserve">  </w:t>
    </w:r>
    <w:r>
      <w:rPr>
        <w:rFonts w:ascii="Times New Roman" w:cs="Simplified Arabic" w:eastAsia="Simplified Arabic" w:hAnsi="Times New Roman"/>
        <w:color w:val="7F7F7F"/>
        <w:sz w:val="20"/>
        <w:szCs w:val="20"/>
        <w:rtl/>
        <w:lang w:val="ar-SA" w:bidi="ar-SA"/>
      </w:rPr>
      <w:t xml:space="preserve">مبادئ الطب الشرعي والقضائي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start="360" w:left="360" w:hanging="280"/>
      </w:pPr>
      <w:rPr>
        <w:rFonts w:ascii="Arial" w:cs="Arial" w:hAnsi="Arial"/>
        <w:color w:val="A9761E"/>
        <w:sz w:val="18"/>
        <w:szCs w:val="18"/>
      </w:rPr>
    </w:lvl>
    <w:lvl w:ilvl="1" w15:tentative="1">
      <w:start w:val="1"/>
      <w:numFmt w:val="bullet"/>
      <w:lvlText w:val="○"/>
      <w:lvlJc w:val="left"/>
      <w:pPr>
        <w:ind w:start="760" w:left="760" w:hanging="280"/>
      </w:pPr>
      <w:rPr>
        <w:rFonts w:ascii="Arial" w:cs="Arial" w:hAnsi="Arial"/>
        <w:color w:val="A9761E"/>
        <w:sz w:val="18"/>
        <w:szCs w:val="18"/>
      </w:rPr>
    </w:lvl>
    <w:lvl w:ilvl="2" w15:tentative="1">
      <w:start w:val="1"/>
      <w:numFmt w:val="bullet"/>
      <w:lvlText w:val="■"/>
      <w:lvlJc w:val="left"/>
      <w:pPr>
        <w:ind w:start="1160" w:left="1160" w:hanging="280"/>
      </w:pPr>
      <w:rPr>
        <w:rFonts w:ascii="Arial" w:cs="Arial" w:hAnsi="Arial"/>
        <w:color w:val="A9761E"/>
        <w:sz w:val="18"/>
        <w:szCs w:val="18"/>
      </w:rPr>
    </w:lvl>
    <w:lvl w:ilvl="3" w15:tentative="1">
      <w:start w:val="1"/>
      <w:numFmt w:val="bullet"/>
      <w:lvlText w:val="▪"/>
      <w:lvlJc w:val="left"/>
      <w:pPr>
        <w:ind w:start="1560" w:left="1560" w:hanging="280"/>
      </w:pPr>
      <w:rPr>
        <w:rFonts w:ascii="Arial" w:cs="Arial" w:hAnsi="Arial"/>
        <w:color w:val="A9761E"/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Simplified Arabic" w:eastAsia="Simplified Arabic" w:hAnsi="Times New Roman"/>
        <w:sz w:val="24"/>
        <w:szCs w:val="24"/>
        <w:lang w:val="ar-SA" w:bidi="ar-SA"/>
      </w:rPr>
    </w:rPrDefault>
    <w:pPrDefault>
      <w:pPr>
        <w:bidi/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bidi/>
    </w:pPr>
    <w:rPr>
      <w:rFonts w:ascii="Times New Roman" w:cs="Simplified Arabic" w:hAnsi="Times New Roman"/>
      <w:b/>
      <w:bCs/>
      <w:color w:val="FFFFF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keepLines/>
      <w:bidi/>
    </w:pPr>
    <w:rPr>
      <w:rFonts w:ascii="Times New Roman" w:cs="Simplified Arabic" w:hAnsi="Times New Roman"/>
      <w:b/>
      <w:bCs/>
      <w:color w:val="141B2E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keepLines/>
      <w:bidi/>
    </w:pPr>
    <w:rPr>
      <w:rFonts w:ascii="Times New Roman" w:cs="Simplified Arabic" w:hAnsi="Times New Roman"/>
      <w:b/>
      <w:bCs/>
      <w:color w:val="146B5D"/>
      <w:sz w:val="27"/>
      <w:szCs w:val="27"/>
    </w:rPr>
  </w:style>
  <w:style w:type="paragraph" w:styleId="Heading4">
    <w:name w:val="Heading 4"/>
    <w:basedOn w:val="Normal"/>
    <w:next w:val="Normal"/>
    <w:qFormat/>
    <w:pPr>
      <w:keepNext/>
      <w:keepLines/>
      <w:bidi/>
    </w:pPr>
    <w:rPr>
      <w:rFonts w:ascii="Times New Roman" w:cs="Simplified Arabic" w:hAnsi="Times New Roman"/>
      <w:b/>
      <w:bCs/>
      <w:color w:val="8A5E1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image" Target="media/f306ae622f2cc25b19565ef61d169f20574a751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><Relationship Id="rId0" Type="http://schemas.openxmlformats.org/officeDocument/2006/relationships/image" Target="media/f306ae622f2cc25b19565ef61d169f20574a751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مبادئ الطب الشرعي والقضائي</dc:title>
  <dc:creator>Random.MEd</dc:creator>
  <cp:lastModifiedBy>Random.MEd</cp:lastModifiedBy>
  <cp:revision>1</cp:revision>
  <dcterms:created xsi:type="dcterms:W3CDTF">2026-10-09T18:13:56.416Z</dcterms:created>
  <dcterms:modified xsi:type="dcterms:W3CDTF">2026-10-09T18:13:56.424Z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