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300" w:line="240" w:lineRule="auto"/>
              <w:jc w:val="center"/>
            </w:pPr>
            <w:r>
              <w:drawing>
                <wp:inline distT="0" distB="0" distL="0" distR="0">
                  <wp:extent cx="1362075" cy="1143000"/>
                  <wp:effectExtent t="0" r="0" b="0" l="0"/>
                  <wp:docPr id="1" name="logo" descr="شعار Random.MEd" title="Random.M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0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 w:before="0" w:line="320" w:lineRule="auto"/>
              <w:jc w:val="center"/>
            </w:pPr>
            <w:bookmarkStart w:name="_Gs2" w:id="1"/>
            <w:bookmarkEnd w:id="1"/>
            <w:r>
              <w:rPr>
                <w:rFonts w:ascii="Times New Roman" w:cs="Simplified Arabic" w:eastAsia="Simplified Arabic" w:hAnsi="Times New Roman"/>
                <w:b/>
                <w:bCs/>
                <w:color w:val="141B2E"/>
                <w:sz w:val="52"/>
                <w:szCs w:val="52"/>
                <w:rtl/>
                <w:lang w:val="ar-SA" w:bidi="ar-SA"/>
              </w:rPr>
              <w:t xml:space="preserve">مبادئ الطب الشرعي والقضائي</w:t>
            </w:r>
          </w:p>
          <w:p>
            <w:pPr>
              <w:pBdr>
                <w:bottom w:val="thick" w:color="A9761E" w:sz="24" w:space="1"/>
              </w:pBdr>
              <w:bidi/>
              <w:spacing w:after="220" w:before="60"/>
              <w:ind w:start="2200" w:end="2200" w:left="2200" w:right="2200"/>
            </w:pPr>
          </w:p>
          <w:p>
            <w:pPr>
              <w:bidi/>
              <w:spacing w:after="200" w:before="0" w:line="360" w:lineRule="auto"/>
              <w:jc w:val="center"/>
            </w:pPr>
            <w:r>
              <w:rPr>
                <w:rFonts w:ascii="Times New Roman" w:cs="Simplified Arabic" w:eastAsia="Simplified Arabic" w:hAnsi="Times New Roman"/>
                <w:color w:val="262626"/>
                <w:sz w:val="30"/>
                <w:szCs w:val="30"/>
                <w:rtl/>
                <w:lang w:val="ar-SA" w:bidi="ar-SA"/>
              </w:rPr>
              <w:t xml:space="preserve">التفريغ النصي الأكاديمي الشامل للمحاضرات</w:t>
            </w:r>
          </w:p>
          <w:p>
            <w:pPr>
              <w:spacing w:after="0" w:before="0" w:line="20" w:lineRule="exact"/>
            </w:pPr>
            <w:bookmarkStart w:name="_Ge2" w:id="2"/>
            <w:bookmarkEnd w:id="2"/>
          </w:p>
        </w:tc>
      </w:tr>
    </w:tbl>
    <w:p>
      <w:pPr>
        <w:spacing w:after="0" w:before="0" w:line="20" w:lineRule="exact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before="200"/>
              <w:jc w:val="center"/>
            </w:pPr>
            <w:bookmarkStart w:name="_Gs1" w:id="3"/>
            <w:bookmarkEnd w:id="3"/>
            <w:r>
              <w:rPr>
                <w:rFonts w:ascii="Times New Roman" w:cs="Simplified Arabic" w:eastAsia="Simplified Arabic" w:hAnsi="Times New Roman"/>
                <w:color w:val="404040"/>
                <w:sz w:val="24"/>
                <w:szCs w:val="24"/>
                <w:rtl/>
                <w:lang w:val="ar-SA" w:bidi="ar-SA"/>
              </w:rPr>
              <w:t xml:space="preserve">عدد المحاضرات: </w:t>
            </w:r>
            <w:r>
              <w:rPr>
                <w:rFonts w:ascii="Times New Roman" w:cs="Times New Roman" w:eastAsia="Times New Roman" w:hAnsi="Times New Roman"/>
                <w:color w:val="404040"/>
                <w:sz w:val="24"/>
                <w:szCs w:val="24"/>
                <w:rtl w:val="false"/>
                <w:lang w:val="en-US" w:bidi="ar-SA"/>
              </w:rPr>
              <w:t xml:space="preserve">1</w:t>
            </w:r>
            <w:bookmarkStart w:name="_Ge1" w:id="4"/>
            <w:bookmarkEnd w:id="4"/>
          </w:p>
        </w:tc>
      </w:tr>
    </w:tbl>
    <w:p>
      <w:pPr>
        <w:spacing w:after="0" w:before="0" w:line="20" w:lineRule="exact"/>
      </w:pPr>
    </w:p>
    <w:p>
      <w:pPr>
        <w:sectPr>
          <w:headerReference w:type="default" r:id="rId7"/>
          <w:footerReference w:type="default" r:id="rId8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Bdr>
          <w:top w:val="single" w:color="141B2E" w:sz="6" w:space="4"/>
          <w:bottom w:val="single" w:color="141B2E" w:sz="6" w:space="4"/>
          <w:left w:val="single" w:color="141B2E" w:sz="6" w:space="4"/>
          <w:right w:val="single" w:color="141B2E" w:sz="6" w:space="4"/>
        </w:pBdr>
        <w:shd w:fill="141B2E" w:color="auto" w:val="clear"/>
        <w:bidi/>
        <w:spacing w:after="200" w:before="0" w:line="300" w:lineRule="auto"/>
        <w:jc w:val="center"/>
      </w:pPr>
      <w:bookmarkStart w:name="_Gs3" w:id="5"/>
      <w:bookmarkEnd w:id="5"/>
      <w:r>
        <w:rPr>
          <w:rFonts w:ascii="Times New Roman" w:cs="Simplified Arabic" w:eastAsia="Simplified Arabic" w:hAnsi="Times New Roman"/>
          <w:b/>
          <w:bCs/>
          <w:color w:val="FFFFFF"/>
          <w:sz w:val="32"/>
          <w:szCs w:val="32"/>
          <w:rtl/>
          <w:lang w:val="ar-SA" w:bidi="ar-SA"/>
        </w:rPr>
        <w:t xml:space="preserve">فهرس المحاضرات ومحاورها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300"/>
        <w:gridCol w:w="6770"/>
      </w:tblGrid>
      <w:tr>
        <w:trPr>
          <w:cantSplit/>
          <w:tblHeader/>
        </w:trPr>
        <w:tc>
          <w:tcPr>
            <w:tcW w:type="dxa" w:w="230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المحاضرة</w:t>
            </w:r>
          </w:p>
        </w:tc>
        <w:tc>
          <w:tcPr>
            <w:tcW w:type="dxa" w:w="677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المحاور الرئيسية</w:t>
            </w:r>
          </w:p>
        </w:tc>
      </w:tr>
      <w:tr>
        <w:trPr>
          <w:cantSplit/>
        </w:trPr>
        <w:tc>
          <w:tcPr>
            <w:tcW w:type="dxa" w:w="2300"/>
            <w:shd w:fill="F6EED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3"/>
                <w:szCs w:val="23"/>
                <w:rtl/>
                <w:lang w:val="ar-SA" w:bidi="ar-SA"/>
              </w:rPr>
              <w:t xml:space="preserve">المحاضرة الرابعة</w:t>
            </w:r>
          </w:p>
        </w:tc>
        <w:tc>
          <w:tcPr>
            <w:tcW w:type="dxa" w:w="67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أولاً: التمييز الطبي الشرعي بين الموت الدماغي والحالات الأخرى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ثانياً: الموت المفاجئ غير المتوقع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(Sudden Unexpected Death)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ثالثاً: أسباب الموت المفاجئ (المنظومة القلبية الوعائية)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رابعاً: أمراض الشرايين الإكليلية المسببة للموت المفاجئ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خامساً: أمراض واعتلالات العضلة القلبية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(Cardiomyopathies)</w:t>
            </w:r>
          </w:p>
        </w:tc>
      </w:tr>
    </w:tbl>
    <w:p>
      <w:pPr>
        <w:spacing w:after="0" w:before="0" w:line="20" w:lineRule="exact"/>
      </w:pPr>
      <w:bookmarkStart w:name="_Ge3" w:id="6"/>
      <w:bookmarkEnd w:id="6"/>
    </w:p>
    <w:p>
      <w:pPr>
        <w:sectPr>
          <w:headerReference w:type="default" r:id="rId9"/>
          <w:footerReference w:type="default" r:id="rId10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Style w:val="Heading1"/>
        <w:keepNext/>
        <w:pBdr>
          <w:top w:val="single" w:color="141B2E" w:sz="6" w:space="6"/>
          <w:bottom w:val="single" w:color="141B2E" w:sz="6" w:space="6"/>
          <w:left w:val="single" w:color="141B2E" w:sz="6" w:space="6"/>
          <w:right w:val="single" w:color="141B2E" w:sz="6" w:space="6"/>
        </w:pBdr>
        <w:shd w:fill="141B2E" w:color="auto" w:val="clear"/>
        <w:bidi/>
        <w:spacing w:after="200" w:before="0" w:line="320" w:lineRule="auto"/>
        <w:jc w:val="center"/>
      </w:pPr>
      <w:bookmarkStart w:name="_Body" w:id="7"/>
      <w:bookmarkEnd w:id="7"/>
      <w:r>
        <w:rPr>
          <w:rFonts w:ascii="Times New Roman" w:cs="Simplified Arabic" w:eastAsia="Simplified Arabic" w:hAnsi="Times New Roman"/>
          <w:b/>
          <w:bCs/>
          <w:color w:val="FFFFFF"/>
          <w:sz w:val="36"/>
          <w:szCs w:val="36"/>
          <w:rtl/>
          <w:lang w:val="ar-SA" w:bidi="ar-SA"/>
        </w:rPr>
        <w:t xml:space="preserve">التفريغ النصي الأكاديمي الشامل: المحاضرة الرابعة - مبادئ الطب الشرعي والقضائي</w:t>
      </w:r>
    </w:p>
    <w:p>
      <w:pPr>
        <w:pBdr>
          <w:top w:val="single" w:color="BFBFBF" w:sz="6" w:space="5"/>
          <w:bottom w:val="single" w:color="BFBFBF" w:sz="6" w:space="5"/>
          <w:left w:val="single" w:color="BFBFBF" w:sz="6" w:space="5"/>
          <w:right w:val="single" w:color="BFBFBF" w:sz="6" w:space="5"/>
        </w:pBdr>
        <w:shd w:fill="F2F2F2" w:color="auto" w:val="clear"/>
        <w:bidi/>
        <w:spacing w:after="240" w:before="0" w:line="324" w:lineRule="auto"/>
        <w:jc w:val="both"/>
      </w:pP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إليك التفريغ النصي الحرفي والشامل والمنظم أكاديمياً لمحتوى المحاضرة الرابعة من مادة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"مبادئ الطب الشرعي والقضائي"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 (المصدر: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شرعي نظري 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1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-٤.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‎m4a‎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)، مع الالتزام التام بكافة القواعد الأكاديمية وصياغتها بلغة عربية فصحى رصينة دون اختصار أو إيجاز.</w:t>
      </w: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أولاً: التمييز الطبي الشرعي بين الموت الدماغي والحالات الأخرى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المظاهر الحيوية الكاذبة والموت الدماغي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طبيعة المظاهر الحيوية تحت التهوية 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تشخيص الموت الدماغي رسمياً لدى مريض موجود في وحدة العناية المشددة وموصول بجهاز التنفس الاصطناعي (المنفسة الآلية)، فإن استمرار وجود النبض، الضغط الشرياني، والحرارة الجسدية يُعد مجرد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"مظاهر كاذبة للحياة"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ناتجة عن الدعم الآلي وليست دليلاً على بقاء الشخص على قيد الحياة.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التكييف القانوني والأخلاقي لرفع أجهزة الدعم: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إن فصل أجهزة التهوية الآلية عن الشخص المتوفى دماغياً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يُعد إطلاقاً من قبيل القتل الرحيم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(Euthanasia)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؛ لأن الشخص يُعد متوفى حكماً وقانوناً وطبياً قبل رفع الجهاز، وإنما يتم إيقاف الأجهزة لانتفاء صفة الحياة الحقيقية ولإتاحة الفرصة لاستغلال أجهزة وسرة العناية المشددة لإنقاذ مرضى آخرين أحياء.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التمييز بين الموت الدماغي والحالة النباتية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(Vegetative State)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42"/>
        <w:gridCol w:w="3094"/>
        <w:gridCol w:w="4134"/>
      </w:tblGrid>
      <w:tr>
        <w:trPr>
          <w:cantSplit/>
          <w:tblHeader/>
        </w:trPr>
        <w:tc>
          <w:tcPr>
            <w:tcW w:type="dxa" w:w="1842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وجه المقارنة</w:t>
            </w:r>
          </w:p>
        </w:tc>
        <w:tc>
          <w:tcPr>
            <w:tcW w:type="dxa" w:w="309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الموت الدماغي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(Brain Death)</w:t>
            </w:r>
          </w:p>
        </w:tc>
        <w:tc>
          <w:tcPr>
            <w:tcW w:type="dxa" w:w="413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الحالة النباتية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(Vegetative State)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طبيعة الضرر الدماغي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تموت كامل وشامل للدماغ وجذعه بشكل غير عكوس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أذية في القشر الدماغي مع بقاء جذع الدماغ يعمل جزئياً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إمكانية التحسن أو الشفاء</w:t>
            </w:r>
          </w:p>
        </w:tc>
        <w:tc>
          <w:tcPr>
            <w:tcW w:type="dxa" w:w="309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معدومة تماماً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(توقف نهائي وغير عكوس)</w:t>
            </w:r>
          </w:p>
        </w:tc>
        <w:tc>
          <w:tcPr>
            <w:tcW w:type="dxa" w:w="413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ممكّنة ومحتملة (قد يتحسن المريض أو يستعيد بعض الوظائف)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التكييف القانوني للوفاة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متوفى رسمياً وقانونياً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حي يخضع للعلاج والمتابعة الطبية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ثانياً: الموت المفاجئ غير المتوقع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(Sudden Unexpected Death)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والزمني للموت المفاجئ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الموت الطبيعي السريع غير المتوقع الذي يحدث لدى شخص كان يبدو ظاهرياً بصحة جيدة وسليمة، ودون وجود إشراف طبي مباشر أو علامات مرضية سابقة معروفة.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التصنيف الزمني للموت المفاجئ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ينقسم الموت المفاجئ بحسب الظروف الزمنية ووجود الشهود إلى ثلاثة أنماط رئيسية: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الآني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(Instantaneous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فوراً وفي نفس اللحظة (خلال ثوانٍ) أثناء ممارسة الشخص لنشاطه الطبيعي (مثل سقوط الشخص فجأة وتوفيه أثناء حديثه مع الآخرين).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السريع في الحالات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(Witnessed Rapid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في الحالات التي يوجد فيها شهود عيان، وتتطور فيها الوفاة خلال مدة أقصاها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ساعة واحدة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‎(1 hour)‎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بدايه ظهور الأعراض الجسدية المفاجئة (مثل الشعور بألم صدري أو بطني حاد أثناء تناول الطعام وتدهور الحالة والوفاة قبل الوصول للمستشفى).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المفاجئ في الحالات غير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(Unwitnessed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يُصنف الموت بأنه مفاجئ إذا كانت الحادثة غير مشهودة (غياب الشهود) ووقعت الوفاة خلال مدة أقصاها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آخر مرة شوهد فيها الشخص حياً وبصحة جيدة (مثل دخول الشخص لمنزله مساءً والعثور عليه متوفياً في الصباح التالي).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الأنماط الزمنية للموت المفاجئ غير المتوقع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1700"/>
        <w:gridCol w:w="3051"/>
        <w:gridCol w:w="2619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النمط الزمني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وجود الشهود</w:t>
            </w:r>
          </w:p>
        </w:tc>
        <w:tc>
          <w:tcPr>
            <w:tcW w:type="dxa" w:w="3051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الإطار الزمني لتطور الوفاة</w:t>
            </w:r>
          </w:p>
        </w:tc>
        <w:tc>
          <w:tcPr>
            <w:tcW w:type="dxa" w:w="261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مثال تطبيقي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الآني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فورياً (خلال لحظات/ثوانٍ)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السقوط والوفاة المفاجئة أثناء الحديث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السريع المشهود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ساعة واحدة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ظهور الأعراض</w:t>
            </w:r>
          </w:p>
        </w:tc>
        <w:tc>
          <w:tcPr>
            <w:tcW w:type="dxa" w:w="261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ألم صدري مفاجئ يؤدي للوفاة خلال دقائق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غير المشهود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غير 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آخر مشاهدة حية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العثور على شخص متوفياً في شقته صباحاً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ثالثاً: أسباب الموت المفاجئ (المنظومة القلبية الوعائية)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تُعزى معظم حالات الموت المفاجئ إلى أذية الأعضاء الحياتية الثلاثة (القلب، الدماغ، الرئتان).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نسبة الأسباب القلبية الوعائية: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تشكل الأسباب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القلبية الوعائية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(Cardiovascular Causes)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ما نسبته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من إجمالي حالات الموت المفاجئ غير المتوقع في الطب الشرعي.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تُصنف الأسباب القلبية بحسب الطبقات البنيوية للقلب من الخرج إلى الداخل: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5"/>
        <w:gridCol w:w="6000"/>
        <w:gridCol w:w="1535"/>
      </w:tblGrid>
      <w:tr>
        <w:trPr>
          <w:cantSplit/>
        </w:trPr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6000"/>
            <w:tcBorders>
              <w:top w:val="single" w:color="141B2E" w:sz="8"/>
              <w:left w:val="single" w:color="141B2E" w:sz="8"/>
              <w:bottom w:val="single" w:color="141B2E" w:sz="8"/>
              <w:right w:val="single" w:color="141B2E" w:sz="8"/>
            </w:tcBorders>
            <w:shd w:fill="141B2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spacing w:after="0" w:before="0" w:line="300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الأسباب القلبية الوعائية للموت المفاجئ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</w:tr>
    </w:tbl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4"/>
        <w:gridCol w:w="240"/>
        <w:gridCol w:w="2863"/>
        <w:gridCol w:w="240"/>
        <w:gridCol w:w="2863"/>
      </w:tblGrid>
      <w:tr>
        <w:trPr>
          <w:cantSplit/>
        </w:trPr>
        <w:tc>
          <w:tcPr>
            <w:tcW w:type="dxa" w:w="2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التامور والطبقة الخارجية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الشرايين الإكليلية (الأشيع)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‎3.‎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العضلة القلبية (الاعتلالات)</w:t>
            </w:r>
          </w:p>
        </w:tc>
      </w:tr>
    </w:tbl>
    <w:p>
      <w:pPr>
        <w:spacing w:after="120" w:before="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رابعاً: أمراض الشرايين الإكليلية المسببة للموت المفاجئ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تُعد أمراض الشرايين الإكليلية المسبب الرئيسي والأول للوفيات القلبية المفاجئة: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تصلب وتضيق الشرايين الإكليلية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(Coronary Atherosclerosis)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الإمراضية: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يسبب التصلب العصيدي تضيقاً في لمعة الشريان الإكليلي، مما يؤدي إلى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نقص التروية الدموية الحاد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(Acute Ischemia)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وبالتالي حدوث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احتشاء العضلة القلبية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(Myocardial Infarction)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أو اضطرابات نظم قاتلة.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النسبة الحرجة للتضيق الإكليلي: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لكي يتسبب التضيق الإكليلي في حدوث نقص تروية حاد وموت مفاجئ في حالة الراحة، يجب أن تزيد نسبة التضيق في لمعة الشريان عن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(أكثر من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أما التضيقات التي بلغت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‎50%‎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فقد تظهر أعراضها فقط عند الجهد الشديد.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التوزيع التشريحي ونسب وقوع التصلب في الشرايين الإكليلية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تحدث التضيقات العصيدية بشكل انتقائي في أماكن محددة من الشرايين الإكليلية وفق النسب التالية: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Anterior Descending Artery - LAD)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ينشأ من جذع الشريان الإكليلي الأيسر (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Left Main Trunk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الذي يبلغ طوله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سم).</w:t>
            </w:r>
          </w:p>
          <w:p>
            <w:pPr>
              <w:pBdr>
                <w:top w:val="single" w:color="BF9000" w:sz="8" w:space="4"/>
                <w:bottom w:val="single" w:color="BF9000" w:sz="8" w:space="4"/>
                <w:left w:val="single" w:color="BF9000" w:sz="8" w:space="4"/>
                <w:right w:val="single" w:color="BF9000" w:sz="8" w:space="4"/>
              </w:pBdr>
              <w:shd w:fill="FFF2CC" w:color="auto" w:val="clear"/>
              <w:bidi/>
              <w:spacing w:after="140" w:before="80" w:line="360" w:lineRule="auto"/>
              <w:ind w:start="100" w:end="100" w:left="100" w:right="100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shd w:fill="C00000" w:color="auto" w:val="clear"/>
                <w:rtl/>
                <w:lang w:val="ar-SA" w:bidi="ar-SA"/>
              </w:rPr>
              <w:t xml:space="preserve">[هام جداً]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تحدث التضيقات في الجزء الأول منه (على بعد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 من بدايته)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‎45%‎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‎65%‎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(وهو الموقع الأشيع إطلاقاً).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التسمية الشائعة: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يُطلق عليه اسم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(Widow Maker)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لخطورة التضيق فيه وتسببه بالموت المفاجئ.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الايمن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(Right Coronary Artery - RCA)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يلتف حول الحافة اليمنى للقلب ويتمادى بالشريان النازل الخلفي (الذي يحدد سيطرة الشريان).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عند الحافة اليمنى وبدايته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‎25%‎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‎35%‎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Circumflex Artery - LCx)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4.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جذع الشريان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Main Coronary Trunk)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بعد المخرج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(Ostium)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التوزيع التشريحي لتضيقات الشرايين الإكليلية العصيدية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295"/>
        <w:gridCol w:w="2448"/>
        <w:gridCol w:w="1700"/>
        <w:gridCol w:w="2627"/>
      </w:tblGrid>
      <w:tr>
        <w:trPr>
          <w:cantSplit/>
          <w:tblHeader/>
        </w:trPr>
        <w:tc>
          <w:tcPr>
            <w:tcW w:type="dxa" w:w="2295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الشريان الإكليلي</w:t>
            </w:r>
          </w:p>
        </w:tc>
        <w:tc>
          <w:tcPr>
            <w:tcW w:type="dxa" w:w="244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موقع التضيق الشائع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نسبة الحدوث</w:t>
            </w:r>
          </w:p>
        </w:tc>
        <w:tc>
          <w:tcPr>
            <w:tcW w:type="dxa" w:w="262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التسمية المميزة / الملاحظة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(LAD)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الجزء الأول (أول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 من بدايته)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‎45%‎ - ‎65%‎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(الأشيع)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يُسمى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(Widow Maker)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الإكليلي الأيمن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(RCA)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الحافة اليمنى وبدايته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‎25%‎ - ‎35%‎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يتمادى غالباً بالنازل الخلفي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(Dominant)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(LCx)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بدايات الشريان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‎5%‎ - ‎10%‎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ينشأ من الجذع الأيسر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جذع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(Trunk)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بعد مخرجه المباشر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‎1%‎ - ‎10%‎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يبلغ طوله الأصلي (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سم)</w:t>
            </w:r>
          </w:p>
        </w:tc>
      </w:tr>
    </w:tbl>
    <w:p>
      <w:pPr>
        <w:spacing w:after="120" w:before="0" w:line="20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‎4.‎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أمراض الشرايين الإكليلية غير العصيدية (المسببة لموت الشباب)</w:t>
      </w:r>
    </w:p>
    <w:p>
      <w:pPr>
        <w:keepNext/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تصلب الشرايين شائع بعد سن الثلاثين، بينما تُعزى الوفاة المفاجئة الإكليلية لدى الشباب (دون سن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 إلى حالات أخرى: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الجسور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(Myocardial Bridging / Bridging)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التشريح والمرض: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الشرايين الإكليلية تسير طبيعياً على سطح القلب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(Epicardium)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في حالة الجسور الإكليلية، يغوص الشريان النازل الأمامي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(LAD)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داخل عمق العضلة القلبية.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الفيزيولوجية: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أثناء الانقباض السيني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(Systole)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ينضغط الشريان. وبما أن العضلة القلبية تتغذى أساساً أثناء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الانبساط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(Diastole)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فإن الحالة تكون سليمة في الراحة.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ممارسة الجهد الفيزيائي الشديد، يقل زمن الانبساط القلبية بدرجة كبيرة، مما يؤدي إلى نقص تروية حاد ينجم عنه اضطراب نظم قاتل وموت مفاجئ.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التشوهات الولادية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(Congenital Coronary Anomalies)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المفهوم: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خروج الشرايين الإكليلية من غير مواقعها التشريحية الطبيعية (مثل خروج الشريان الأيسر والأيمن من فتحة واحدة فوق الوريقة الدسامية اليمنى وتغير مساره).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الفئة المستهدفة: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تُسبب الموت المفاجئ لدى الشباب بعمر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18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25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سنة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(خاصة بين الرياضيين والعساكر أثناء التدريبات القاسية).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أم الدم المسلخة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(Coronary Artery Dissection)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الثانوي: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امتيداد تسلخ الشريان الأبهر الصاعد، أو ناجم عن رد مباشر على الصدر، أو خطأ رضي أثناء عمليات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قسطرة الشرايين الإكليلية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Style w:val="ListParagraph"/>
        <w:keepNext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العفوي البدئي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(Spontaneous Dissection)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يحدث بنسبة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لدى النساء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500" w:end="100" w:left="5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التوقيت الخطر لحدث أم الدم المسلخة العفوية: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تظهر حصراً خلال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فترة النفاس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والشهر الأخير قبل الولادة، والأشهر الأولى بعد الولادة.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‎5.‎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الأسباب الإكليلية للموت المفاجئ عند الشباب (دون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سنة)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28"/>
        <w:gridCol w:w="3114"/>
        <w:gridCol w:w="4128"/>
      </w:tblGrid>
      <w:tr>
        <w:trPr>
          <w:cantSplit/>
          <w:tblHeader/>
        </w:trPr>
        <w:tc>
          <w:tcPr>
            <w:tcW w:type="dxa" w:w="18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المرض الإكليلي</w:t>
            </w:r>
          </w:p>
        </w:tc>
        <w:tc>
          <w:tcPr>
            <w:tcW w:type="dxa" w:w="311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الآلية والمظهر التشريحي</w:t>
            </w:r>
          </w:p>
        </w:tc>
        <w:tc>
          <w:tcPr>
            <w:tcW w:type="dxa" w:w="41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الفئة الأكثر عرضة / ظروف الحدوث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الجسور الإكليلية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(Bridging)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انغماس الشريان الإكليلي في عمق العضلة القلبية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تحدث الوفاة أثناء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الجهد الفيزيائي الشديد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(نقص زمن الانبساط)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التشوهات الولادية</w:t>
            </w:r>
          </w:p>
        </w:tc>
        <w:tc>
          <w:tcPr>
            <w:tcW w:type="dxa" w:w="311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شذوذ منشأ ومسار الشرايين الإكليلية</w:t>
            </w:r>
          </w:p>
        </w:tc>
        <w:tc>
          <w:tcPr>
            <w:tcW w:type="dxa" w:w="412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الشباب بعمر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‎18‎-‎25‎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(الرياضيون والعساكر)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أم الدم المسلخة العفوية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تسلخ تلقائي في جدار الشريان الإكليلي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النساء (بنسبة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‎80%‎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)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فترة النفاس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وما حول الولادة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خامساً: أمراض واعتلالات العضلة القلبية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(Cardiomyopathies)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لإعتلال العضلة القلبية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اعتلال العضلة القلبية: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اضطراب وظيفي وبنيوي في العضلة القلبية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غير ناجم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 ارتفاع الضغط الشرياني، ولا عن نقص التروية الإكليلي، ولا عن أمراض الصمامات القلبية، ولا عن التشوهات الولادية البنيوية.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أنواع اعتلالات العضلة القلبية الرئيسية الثلاثة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الاعتلال التوسعي الاحتقاني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(Dilated / Congestive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المظاهر التشريحية: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توسع وتضخم كبير في جميع حجرات القلب (البطينين والاذينين)، حيث قد يصل وزن القلب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‎700‎ - ‎1000‎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غرام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(الوزن الطبيعي نحو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غرام).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الوفاة: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حدوث رجفان بطيني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(Ventricular Fibrillation)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واضطرابات نظم قاتلة.</w:t>
      </w:r>
    </w:p>
    <w:p>
      <w:pPr>
        <w:pStyle w:val="ListParagraph"/>
        <w:keepNext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الأسباب الرئيسية:</w:t>
      </w:r>
    </w:p>
    <w:tbl>
      <w:tblPr>
        <w:bidiVisual/>
        <w:tblW w:type="dxa" w:w="8670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0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الكحولية المزمنة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(Chronic Alcoholism)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تُعد السبب الأكثر أهمية وشيوعاً.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keepNext/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السموم والادوية: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التعرض لمادة الكوبالت (المضافة للكحول)، أو عقار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الأدريامايسين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(Adriamycin)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المستخدم في علاج السرطانات.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اعتلال فترة النفاس: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يحدث لدى النساء خلال فترة النفاس وحتى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6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أشهر بعد الولادة (وغالبيتهن يشفين بعد سنة).</w:t>
            </w:r>
          </w:p>
        </w:tc>
      </w:tr>
    </w:tbl>
    <w:p>
      <w:pPr>
        <w:spacing w:after="60" w:before="0" w:line="120"/>
      </w:pP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الاعتلال الضخامي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(Hypertrophic Cardiomyopathy - HCM)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الصفة الوراثية للاعتلال الضخامي: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هذا النوع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مرضاً عائلياً وراثياً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(Familial)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بامتياز. عند تشخيص حالة وفاة بهذا المرض أثناء التشريح، يتوجب حتماً فحص أشقاء وأقارب المتوفى.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المظهر التشريحي: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ضخامة شديدة غير متناظرة في جدران البطين والحاجز بين البطينين (خاصة المنطقة تحت الأبهرية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Subaortic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الأهمية: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من أهم أسباب الموت المفاجئ لدى الشباب والرياضيين.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الاعتلال الحاصر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(Restrictive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ارتشاح العضلة القلبية بمواد غريبة مثل (الداء النشاواني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Amyloidosis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الساركويئيد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Sarcoidosis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أو أدواء تخزين الجليكوجين).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الموقف الطبي الشرعي: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مرضي مزمن بطيء،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يسبب الموت المفاجئ إطلاقاً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ولا يشكل أهمية في ممارسة الطب الشرعي.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أنواع اعتلالات العضلة القلبية الثلاثة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2754"/>
        <w:gridCol w:w="2439"/>
        <w:gridCol w:w="2177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نوع الاعتلال</w:t>
            </w:r>
          </w:p>
        </w:tc>
        <w:tc>
          <w:tcPr>
            <w:tcW w:type="dxa" w:w="275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التغير التشريحي البارز</w:t>
            </w:r>
          </w:p>
        </w:tc>
        <w:tc>
          <w:tcPr>
            <w:tcW w:type="dxa" w:w="243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المسبب الرئيسي</w:t>
            </w:r>
          </w:p>
        </w:tc>
        <w:tc>
          <w:tcPr>
            <w:tcW w:type="dxa" w:w="217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إمكانية التسبب بالموت المفاجئ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التوسعي الاحتقاني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(Dilated)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توسع كافة الحجرات وزيادة الوزن (حتى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1000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غ)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الكحولية المزمنة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، أدوية السرطان (الأدريامايسين)، والنفاس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(رجفان بطيني واضطراب نظم)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الضخامي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(Hypertrophic)</w:t>
            </w:r>
          </w:p>
        </w:tc>
        <w:tc>
          <w:tcPr>
            <w:tcW w:type="dxa" w:w="275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ضخامة جدار البطين والحاجز تحت الأبهري</w:t>
            </w:r>
          </w:p>
        </w:tc>
        <w:tc>
          <w:tcPr>
            <w:tcW w:type="dxa" w:w="243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وراثي عائلي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(Familial)</w:t>
            </w:r>
          </w:p>
        </w:tc>
        <w:tc>
          <w:tcPr>
            <w:tcW w:type="dxa" w:w="217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(أهم أسباب موت الرياضيين)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الحاصر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(Restrictive)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ارتشاح النسيج بالنشاواني أو الساركويئيد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أمراض ارتشاحية وتخزينية مزمنة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لا يسبب الموت المفاجئ</w:t>
            </w:r>
          </w:p>
        </w:tc>
      </w:tr>
    </w:tbl>
    <w:p>
      <w:pPr>
        <w:spacing w:after="120" w:before="0" w:line="200"/>
      </w:pPr>
    </w:p>
    <w:p>
      <w:pPr>
        <w:pBdr>
          <w:top w:val="dashed" w:color="A9761E" w:sz="6" w:space="5"/>
          <w:bottom w:val="dashed" w:color="A9761E" w:sz="6" w:space="5"/>
          <w:left w:val="dashed" w:color="A9761E" w:sz="6" w:space="5"/>
          <w:right w:val="dashed" w:color="A9761E" w:sz="6" w:space="5"/>
        </w:pBdr>
        <w:shd w:fill="EAF3F0" w:color="auto" w:val="clear"/>
        <w:bidi/>
        <w:spacing w:after="120" w:before="240" w:line="360" w:lineRule="auto"/>
        <w:jc w:val="both"/>
      </w:pPr>
      <w:r>
        <w:rPr>
          <w:rFonts w:ascii="Segoe UI Emoji" w:cs="Segoe UI Emoji" w:hAnsi="Segoe UI Emoji"/>
          <w:sz w:val="24"/>
          <w:szCs w:val="24"/>
          <w:rtl w:val="false"/>
          <w:lang w:val="en-US" w:bidi="ar-SA"/>
        </w:rPr>
        <w:t xml:space="preserve">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هل ترغب في تحويل هذا التفريغ النصي إلى بطاقات استذكار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(Flashcards)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للمراجعة السريعة، أو إنشاء اختبار تفاعلي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(Quiz)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لتأكيد الفهم؟</w:t>
      </w:r>
    </w:p>
    <w:sectPr>
      <w:headerReference w:type="default" r:id="rId11"/>
      <w:footerReference w:type="default" r:id="rId12"/>
      <w:pgSz w:w="11906" w:h="16838" w:orient="portrait"/>
      <w:pgMar w:top="1418" w:right="1418" w:bottom="1418" w:left="1418" w:header="709" w:footer="709" w:gutter="0"/>
      <w:pgNumType w:start="1" w:fmt="decimal"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FFFFFF" w:color="auto" w:val="clear"/>
      <w:bidi/>
      <w:spacing w:after="60"/>
      <w:jc w:val="center"/>
    </w:pPr>
    <w:r>
      <w:rPr>
        <w:rFonts w:ascii="Times New Roman" w:cs="Times New Roman" w:eastAsia="Times New Roman" w:hAnsi="Times New Roman"/>
        <w:b/>
        <w:bCs/>
        <w:color w:val="A9761E"/>
        <w:sz w:val="46"/>
        <w:szCs w:val="46"/>
        <w:rtl w:val="false"/>
        <w:lang w:val="en-US" w:bidi="ar-SA"/>
      </w:rPr>
      <w:t xml:space="preserve">Random.MEd</w:t>
    </w:r>
  </w:p>
  <w:p>
    <w:pPr>
      <w:shd w:fill="FFFFFF" w:color="auto" w:val="clear"/>
      <w:bidi/>
      <w:spacing w:after="0"/>
      <w:jc w:val="center"/>
    </w:pP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21"/>
        <w:szCs w:val="21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404040"/>
        <w:sz w:val="21"/>
        <w:szCs w:val="21"/>
        <w:rtl/>
        <w:lang w:val="ar-SA" w:bidi="ar-SA"/>
      </w:rPr>
      <w:t xml:space="preserve"> — جميع الحقوق محفوظة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Times New Roman" w:cs="Simplified Arabic" w:eastAsia="Simplified Arabic" w:hAnsi="Times New Roman"/>
        <w:b/>
        <w:bCs/>
        <w:color w:val="141B2E"/>
        <w:sz w:val="20"/>
        <w:szCs w:val="20"/>
        <w:rtl/>
        <w:lang w:val="ar-SA" w:bidi="ar-SA"/>
      </w:rPr>
      <w:t xml:space="preserve">صفحة </w:t>
    </w:r>
    <w:r>
      <w:rPr>
        <w:rFonts w:ascii="Times New Roman" w:cs="Times New Roman" w:hAnsi="Times New Roman"/>
        <w:b/>
        <w:bCs/>
        <w:color w:val="A9761E"/>
        <w:sz w:val="22"/>
        <w:szCs w:val="22"/>
        <w:lang w:val="en-US"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 w:before="20"/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18"/>
        <w:szCs w:val="18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7F7F7F"/>
        <w:sz w:val="18"/>
        <w:szCs w:val="18"/>
        <w:rtl/>
        <w:lang w:val="ar-SA" w:bidi="ar-SA"/>
      </w:rPr>
      <w:t xml:space="preserve"> — جميع الحقوق محفوظة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49A" w:sz="6" w:space="4"/>
      </w:pBdr>
      <w:bidi/>
      <w:spacing w:after="0"/>
    </w:pPr>
    <w:r>
      <w:drawing>
        <wp:anchor distT="0" distB="0" distL="0" distR="0" simplePos="0" allowOverlap="1" behindDoc="1" locked="0" layoutInCell="1" relativeHeight="3048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619500" cy="3048000"/>
          <wp:effectExtent t="0" r="0" b="0" l="0"/>
          <wp:wrapNone/>
          <wp:docPr id="2" name="watermark" descr="Random.MEd" title="علامة مائية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304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28600" cy="190500"/>
          <wp:effectExtent t="0" r="0" b="0" l="0"/>
          <wp:docPr id="3" name="logo" descr="شعار Random.MEd" title="Random.M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Simplified Arabic" w:eastAsia="Simplified Arabic" w:hAnsi="Times New Roman"/>
        <w:sz w:val="20"/>
        <w:szCs w:val="20"/>
        <w:rtl/>
        <w:lang w:val="ar-SA" w:bidi="ar-SA"/>
      </w:rPr>
      <w:t xml:space="preserve">  </w:t>
    </w:r>
    <w:r>
      <w:rPr>
        <w:rFonts w:ascii="Times New Roman" w:cs="Simplified Arabic" w:eastAsia="Simplified Arabic" w:hAnsi="Times New Roman"/>
        <w:color w:val="7F7F7F"/>
        <w:sz w:val="20"/>
        <w:szCs w:val="20"/>
        <w:rtl/>
        <w:lang w:val="ar-SA" w:bidi="ar-SA"/>
      </w:rPr>
      <w:t xml:space="preserve">مبادئ الطب الشرعي والقضائي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start="360" w:left="360" w:hanging="280"/>
      </w:pPr>
      <w:rPr>
        <w:rFonts w:ascii="Arial" w:cs="Arial" w:hAnsi="Arial"/>
        <w:color w:val="A9761E"/>
        <w:sz w:val="18"/>
        <w:szCs w:val="18"/>
      </w:rPr>
    </w:lvl>
    <w:lvl w:ilvl="1" w15:tentative="1">
      <w:start w:val="1"/>
      <w:numFmt w:val="bullet"/>
      <w:lvlText w:val="○"/>
      <w:lvlJc w:val="left"/>
      <w:pPr>
        <w:ind w:start="760" w:left="760" w:hanging="280"/>
      </w:pPr>
      <w:rPr>
        <w:rFonts w:ascii="Arial" w:cs="Arial" w:hAnsi="Arial"/>
        <w:color w:val="A9761E"/>
        <w:sz w:val="18"/>
        <w:szCs w:val="18"/>
      </w:rPr>
    </w:lvl>
    <w:lvl w:ilvl="2" w15:tentative="1">
      <w:start w:val="1"/>
      <w:numFmt w:val="bullet"/>
      <w:lvlText w:val="■"/>
      <w:lvlJc w:val="left"/>
      <w:pPr>
        <w:ind w:start="1160" w:left="1160" w:hanging="280"/>
      </w:pPr>
      <w:rPr>
        <w:rFonts w:ascii="Arial" w:cs="Arial" w:hAnsi="Arial"/>
        <w:color w:val="A9761E"/>
        <w:sz w:val="18"/>
        <w:szCs w:val="18"/>
      </w:rPr>
    </w:lvl>
    <w:lvl w:ilvl="3" w15:tentative="1">
      <w:start w:val="1"/>
      <w:numFmt w:val="bullet"/>
      <w:lvlText w:val="▪"/>
      <w:lvlJc w:val="left"/>
      <w:pPr>
        <w:ind w:start="1560" w:left="1560" w:hanging="280"/>
      </w:pPr>
      <w:rPr>
        <w:rFonts w:ascii="Arial" w:cs="Arial" w:hAnsi="Arial"/>
        <w:color w:val="A9761E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Simplified Arabic" w:eastAsia="Simplified Arabic" w:hAnsi="Times New Roman"/>
        <w:sz w:val="24"/>
        <w:szCs w:val="24"/>
        <w:lang w:val="ar-SA" w:bidi="ar-SA"/>
      </w:rPr>
    </w:rPrDefault>
    <w:pPrDefault>
      <w:pPr>
        <w:bidi/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1B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6B5D"/>
      <w:sz w:val="27"/>
      <w:szCs w:val="27"/>
    </w:rPr>
  </w:style>
  <w:style w:type="paragraph" w:styleId="Heading4">
    <w:name w:val="Heading 4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8A5E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f306ae622f2cc25b19565ef61d169f20574a751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306ae622f2cc25b19565ef61d169f20574a75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مبادئ الطب الشرعي والقضائي</dc:title>
  <dc:creator>Random.MEd</dc:creator>
  <cp:lastModifiedBy>Random.MEd</cp:lastModifiedBy>
  <cp:revision>1</cp:revision>
  <dcterms:created xsi:type="dcterms:W3CDTF">2026-10-09T18:38:16.265Z</dcterms:created>
  <dcterms:modified xsi:type="dcterms:W3CDTF">2026-10-09T18:38:16.272Z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