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</w:p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300" w:line="240" w:lineRule="auto"/>
              <w:jc w:val="center"/>
            </w:pPr>
            <w:r>
              <w:drawing>
                <wp:inline distT="0" distB="0" distL="0" distR="0">
                  <wp:extent cx="1362075" cy="1143000"/>
                  <wp:effectExtent t="0" r="0" b="0" l="0"/>
                  <wp:docPr id="1" name="logo" descr="شعار Random.MEd" title="Random.M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120" w:before="0" w:line="320" w:lineRule="auto"/>
              <w:jc w:val="center"/>
            </w:pPr>
            <w:bookmarkStart w:name="_Gs2" w:id="1"/>
            <w:bookmarkEnd w:id="1"/>
            <w:r>
              <w:rPr>
                <w:rFonts w:ascii="Times New Roman" w:cs="Simplified Arabic" w:eastAsia="Simplified Arabic" w:hAnsi="Times New Roman"/>
                <w:b/>
                <w:bCs/>
                <w:color w:val="141B2E"/>
                <w:sz w:val="52"/>
                <w:szCs w:val="52"/>
                <w:rtl/>
                <w:lang w:val="ar-SA" w:bidi="ar-SA"/>
              </w:rPr>
              <w:t xml:space="preserve">مبادئ الطب الشرعي والقضائي</w:t>
            </w:r>
          </w:p>
          <w:p>
            <w:pPr>
              <w:pBdr>
                <w:bottom w:val="thick" w:color="A9761E" w:sz="24" w:space="1"/>
              </w:pBdr>
              <w:bidi/>
              <w:spacing w:after="220" w:before="60"/>
              <w:ind w:start="2200" w:end="2200" w:left="2200" w:right="2200"/>
            </w:pPr>
          </w:p>
          <w:p>
            <w:pPr>
              <w:bidi/>
              <w:spacing w:after="200" w:before="0" w:line="360" w:lineRule="auto"/>
              <w:jc w:val="center"/>
            </w:pPr>
            <w:r>
              <w:rPr>
                <w:rFonts w:ascii="Times New Roman" w:cs="Simplified Arabic" w:eastAsia="Simplified Arabic" w:hAnsi="Times New Roman"/>
                <w:color w:val="262626"/>
                <w:sz w:val="30"/>
                <w:szCs w:val="30"/>
                <w:rtl/>
                <w:lang w:val="ar-SA" w:bidi="ar-SA"/>
              </w:rPr>
              <w:t xml:space="preserve">التفريغ النصي الأكاديمي الشامل للمحاضرات</w:t>
            </w:r>
          </w:p>
          <w:p>
            <w:pPr>
              <w:spacing w:after="0" w:before="0" w:line="20" w:lineRule="exact"/>
            </w:pPr>
            <w:bookmarkStart w:name="_Ge2" w:id="2"/>
            <w:bookmarkEnd w:id="2"/>
          </w:p>
        </w:tc>
      </w:tr>
    </w:tbl>
    <w:p>
      <w:pPr>
        <w:spacing w:after="0" w:before="0" w:line="20" w:lineRule="exact"/>
      </w:pPr>
    </w:p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before="200"/>
              <w:jc w:val="center"/>
            </w:pPr>
            <w:bookmarkStart w:name="_Gs1" w:id="3"/>
            <w:bookmarkEnd w:id="3"/>
            <w:r>
              <w:rPr>
                <w:rFonts w:ascii="Times New Roman" w:cs="Simplified Arabic" w:eastAsia="Simplified Arabic" w:hAnsi="Times New Roman"/>
                <w:color w:val="404040"/>
                <w:sz w:val="24"/>
                <w:szCs w:val="24"/>
                <w:rtl/>
                <w:lang w:val="ar-SA" w:bidi="ar-SA"/>
              </w:rPr>
              <w:t xml:space="preserve">عدد المحاضرات: </w:t>
            </w:r>
            <w:r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false"/>
                <w:lang w:val="en-US" w:bidi="ar-SA"/>
              </w:rPr>
              <w:t xml:space="preserve">1</w:t>
            </w:r>
            <w:bookmarkStart w:name="_Ge1" w:id="4"/>
            <w:bookmarkEnd w:id="4"/>
          </w:p>
        </w:tc>
      </w:tr>
    </w:tbl>
    <w:p>
      <w:pPr>
        <w:spacing w:after="0" w:before="0" w:line="20" w:lineRule="exact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418" w:right="1418" w:bottom="1418" w:left="1418" w:header="709" w:footer="709" w:gutter="0"/>
          <w:pgNumType/>
          <w:bidi/>
          <w:docGrid w:linePitch="360"/>
        </w:sectPr>
      </w:pPr>
    </w:p>
    <w:p>
      <w:pPr>
        <w:pBdr>
          <w:top w:val="single" w:color="141B2E" w:sz="6" w:space="4"/>
          <w:bottom w:val="single" w:color="141B2E" w:sz="6" w:space="4"/>
          <w:left w:val="single" w:color="141B2E" w:sz="6" w:space="4"/>
          <w:right w:val="single" w:color="141B2E" w:sz="6" w:space="4"/>
        </w:pBdr>
        <w:shd w:fill="141B2E" w:color="auto" w:val="clear"/>
        <w:bidi/>
        <w:spacing w:after="200" w:before="0" w:line="300" w:lineRule="auto"/>
        <w:jc w:val="center"/>
      </w:pPr>
      <w:bookmarkStart w:name="_Gs3" w:id="5"/>
      <w:bookmarkEnd w:id="5"/>
      <w:r>
        <w:rPr>
          <w:rFonts w:ascii="Times New Roman" w:cs="Simplified Arabic" w:eastAsia="Simplified Arabic" w:hAnsi="Times New Roman"/>
          <w:b/>
          <w:bCs/>
          <w:color w:val="FFFFFF"/>
          <w:sz w:val="32"/>
          <w:szCs w:val="32"/>
          <w:rtl/>
          <w:lang w:val="ar-SA" w:bidi="ar-SA"/>
        </w:rPr>
        <w:t xml:space="preserve">فهرس المحاضرات ومحاورها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2300"/>
        <w:gridCol w:w="6770"/>
      </w:tblGrid>
      <w:tr>
        <w:trPr>
          <w:cantSplit/>
          <w:tblHeader/>
        </w:trPr>
        <w:tc>
          <w:tcPr>
            <w:tcW w:type="dxa" w:w="2300"/>
            <w:shd w:fill="141B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4"/>
                <w:szCs w:val="24"/>
                <w:rtl/>
                <w:lang w:val="ar-SA" w:bidi="ar-SA"/>
              </w:rPr>
              <w:t xml:space="preserve">المحاضرة</w:t>
            </w:r>
          </w:p>
        </w:tc>
        <w:tc>
          <w:tcPr>
            <w:tcW w:type="dxa" w:w="6770"/>
            <w:shd w:fill="141B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4"/>
                <w:szCs w:val="24"/>
                <w:rtl/>
                <w:lang w:val="ar-SA" w:bidi="ar-SA"/>
              </w:rPr>
              <w:t xml:space="preserve">المحاور الرئيسية</w:t>
            </w:r>
          </w:p>
        </w:tc>
      </w:tr>
      <w:tr>
        <w:trPr>
          <w:cantSplit/>
        </w:trPr>
        <w:tc>
          <w:tcPr>
            <w:tcW w:type="dxa" w:w="2300"/>
            <w:shd w:fill="F6EED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3"/>
                <w:szCs w:val="23"/>
                <w:rtl/>
                <w:lang w:val="ar-SA" w:bidi="ar-SA"/>
              </w:rPr>
              <w:t xml:space="preserve">المحاضرة الرابعة</w:t>
            </w:r>
          </w:p>
        </w:tc>
        <w:tc>
          <w:tcPr>
            <w:tcW w:type="dxa" w:w="67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أولاً: التمييز الطبي الشرعي بين الموت الدماغي والحالات الأخرى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ثانياً: الموت المفاجئ غير المتوقع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(Sudden Unexpected Death)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ثالثاً: أسباب الموت المفاجئ (المنظومة القلبية الوعائية)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رابعاً: أمراض الشرايين الإكليلية المسببة للموت المفاجئ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0" w:line="276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خامساً: أمراض واعتلالات العضلة القلبية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(Cardiomyopathies)</w:t>
            </w:r>
          </w:p>
        </w:tc>
      </w:tr>
    </w:tbl>
    <w:p>
      <w:pPr>
        <w:spacing w:after="0" w:before="0" w:line="20" w:lineRule="exact"/>
      </w:pPr>
      <w:bookmarkStart w:name="_Ge3" w:id="6"/>
      <w:bookmarkEnd w:id="6"/>
    </w:p>
    <w:p>
      <w:pPr>
        <w:sectPr>
          <w:headerReference w:type="default" r:id="rId9"/>
          <w:footerReference w:type="default" r:id="rId10"/>
          <w:pgSz w:w="11906" w:h="16838" w:orient="portrait"/>
          <w:pgMar w:top="1418" w:right="1418" w:bottom="1418" w:left="1418" w:header="709" w:footer="709" w:gutter="0"/>
          <w:pgNumType/>
          <w:bidi/>
          <w:docGrid w:linePitch="360"/>
        </w:sectPr>
      </w:pPr>
    </w:p>
    <w:p>
      <w:pPr>
        <w:pStyle w:val="Heading1"/>
        <w:keepNext/>
        <w:pBdr>
          <w:top w:val="single" w:color="141B2E" w:sz="6" w:space="6"/>
          <w:bottom w:val="single" w:color="141B2E" w:sz="6" w:space="6"/>
          <w:left w:val="single" w:color="141B2E" w:sz="6" w:space="6"/>
          <w:right w:val="single" w:color="141B2E" w:sz="6" w:space="6"/>
        </w:pBdr>
        <w:shd w:fill="141B2E" w:color="auto" w:val="clear"/>
        <w:bidi/>
        <w:spacing w:after="200" w:before="0" w:line="320" w:lineRule="auto"/>
        <w:jc w:val="center"/>
      </w:pPr>
      <w:bookmarkStart w:name="_Body" w:id="7"/>
      <w:bookmarkEnd w:id="7"/>
      <w:r>
        <w:rPr>
          <w:rFonts w:ascii="Times New Roman" w:cs="Simplified Arabic" w:eastAsia="Simplified Arabic" w:hAnsi="Times New Roman"/>
          <w:b/>
          <w:bCs/>
          <w:color w:val="FFFFFF"/>
          <w:sz w:val="36"/>
          <w:szCs w:val="36"/>
          <w:rtl/>
          <w:lang w:val="ar-SA" w:bidi="ar-SA"/>
        </w:rPr>
        <w:t xml:space="preserve">التفريغ النصي الأكاديمي الشامل: المحاضرة الرابعة - مبادئ الطب الشرعي والقضائي</w:t>
      </w:r>
    </w:p>
    <w:p>
      <w:pPr>
        <w:pBdr>
          <w:top w:val="single" w:color="BFBFBF" w:sz="6" w:space="5"/>
          <w:bottom w:val="single" w:color="BFBFBF" w:sz="6" w:space="5"/>
          <w:left w:val="single" w:color="BFBFBF" w:sz="6" w:space="5"/>
          <w:right w:val="single" w:color="BFBFBF" w:sz="6" w:space="5"/>
        </w:pBdr>
        <w:shd w:fill="F2F2F2" w:color="auto" w:val="clear"/>
        <w:bidi/>
        <w:spacing w:after="240" w:before="0" w:line="324" w:lineRule="auto"/>
        <w:jc w:val="both"/>
      </w:pPr>
      <w:r>
        <w:rPr>
          <w:rFonts w:ascii="Times New Roman" w:cs="Simplified Arabic" w:eastAsia="Simplified Arabic" w:hAnsi="Times New Roman"/>
          <w:color w:val="404040"/>
          <w:sz w:val="22"/>
          <w:szCs w:val="22"/>
          <w:rtl/>
          <w:lang w:val="ar-SA" w:bidi="ar-SA"/>
        </w:rPr>
        <w:t xml:space="preserve">إليك التفريغ النصي الحرفي والشامل والمنظم أكاديمياً لمحتوى المحاضرة الرابعة من مادة </w:t>
      </w:r>
      <w:r>
        <w:rPr>
          <w:rFonts w:ascii="Times New Roman" w:cs="Simplified Arabic" w:eastAsia="Simplified Arabic" w:hAnsi="Times New Roman"/>
          <w:b/>
          <w:bCs/>
          <w:color w:val="262626"/>
          <w:sz w:val="22"/>
          <w:szCs w:val="22"/>
          <w:rtl/>
          <w:lang w:val="ar-SA" w:bidi="ar-SA"/>
        </w:rPr>
        <w:t xml:space="preserve">"مبادئ الطب الشرعي والقضائي"</w:t>
      </w:r>
      <w:r>
        <w:rPr>
          <w:rFonts w:ascii="Times New Roman" w:cs="Simplified Arabic" w:eastAsia="Simplified Arabic" w:hAnsi="Times New Roman"/>
          <w:color w:val="404040"/>
          <w:sz w:val="22"/>
          <w:szCs w:val="22"/>
          <w:rtl/>
          <w:lang w:val="ar-SA" w:bidi="ar-SA"/>
        </w:rPr>
        <w:t xml:space="preserve"> (المصدر: </w:t>
      </w:r>
      <w:r>
        <w:rPr>
          <w:rFonts w:ascii="Times New Roman" w:cs="Simplified Arabic" w:eastAsia="Simplified Arabic" w:hAnsi="Times New Roman"/>
          <w:b/>
          <w:bCs/>
          <w:color w:val="262626"/>
          <w:sz w:val="22"/>
          <w:szCs w:val="22"/>
          <w:rtl/>
          <w:lang w:val="ar-SA" w:bidi="ar-SA"/>
        </w:rPr>
        <w:t xml:space="preserve">شرعي نظري </w:t>
      </w:r>
      <w:r>
        <w:rPr>
          <w:rFonts w:ascii="Times New Roman" w:cs="Times New Roman" w:eastAsia="Times New Roman" w:hAnsi="Times New Roman"/>
          <w:b/>
          <w:bCs/>
          <w:color w:val="262626"/>
          <w:sz w:val="22"/>
          <w:szCs w:val="22"/>
          <w:rtl w:val="false"/>
          <w:lang w:val="en-US" w:bidi="ar-SA"/>
        </w:rPr>
        <w:t xml:space="preserve">1</w:t>
      </w:r>
      <w:r>
        <w:rPr>
          <w:rFonts w:ascii="Times New Roman" w:cs="Simplified Arabic" w:eastAsia="Simplified Arabic" w:hAnsi="Times New Roman"/>
          <w:b/>
          <w:bCs/>
          <w:color w:val="262626"/>
          <w:sz w:val="22"/>
          <w:szCs w:val="22"/>
          <w:rtl/>
          <w:lang w:val="ar-SA" w:bidi="ar-SA"/>
        </w:rPr>
        <w:t xml:space="preserve">-٤.</w:t>
      </w:r>
      <w:r>
        <w:rPr>
          <w:rFonts w:ascii="Times New Roman" w:cs="Times New Roman" w:eastAsia="Times New Roman" w:hAnsi="Times New Roman"/>
          <w:b/>
          <w:bCs/>
          <w:color w:val="262626"/>
          <w:sz w:val="22"/>
          <w:szCs w:val="22"/>
          <w:rtl w:val="false"/>
          <w:lang w:val="en-US" w:bidi="ar-SA"/>
        </w:rPr>
        <w:t xml:space="preserve">‎m4a‎</w:t>
      </w:r>
      <w:r>
        <w:rPr>
          <w:rFonts w:ascii="Times New Roman" w:cs="Simplified Arabic" w:eastAsia="Simplified Arabic" w:hAnsi="Times New Roman"/>
          <w:color w:val="404040"/>
          <w:sz w:val="22"/>
          <w:szCs w:val="22"/>
          <w:rtl/>
          <w:lang w:val="ar-SA" w:bidi="ar-SA"/>
        </w:rPr>
        <w:t xml:space="preserve">)، مع الالتزام التام بكافة القواعد الأكاديمية وصياغتها بلغة عربية فصحى رصينة دون اختصار أو إيجاز.</w:t>
      </w: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أولاً: التمييز الطبي الشرعي بين الموت الدماغي والحالات الأخرى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‎1.‎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المظاهر الحيوية الكاذبة والموت الدماغي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طبيعة المظاهر الحيوية تحت التهوية الآلية: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عند تشخيص الموت الدماغي رسمياً لدى مريض موجود في وحدة العناية المشددة وموصول بجهاز التنفس الاصطناعي (المنفسة الآلية)، فإن استمرار وجود النبض، الضغط الشرياني، والحرارة الجسدية يُعد مجرد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"مظاهر كاذبة للحياة"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ناتجة عن الدعم الآلي وليست دليلاً على بقاء الشخص على قيد الحياة.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التكييف القانوني والأخلاقي لرفع أجهزة الدعم: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إن فصل أجهزة التهوية الآلية عن الشخص المتوفى دماغياً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لا يُعد إطلاقاً من قبيل القتل الرحيم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(Euthanasia)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؛ لأن الشخص يُعد متوفى حكماً وقانوناً وطبياً قبل رفع الجهاز، وإنما يتم إيقاف الأجهزة لانتفاء صفة الحياة الحقيقية ولإتاحة الفرصة لاستغلال أجهزة وسرة العناية المشددة لإنقاذ مرضى آخرين أحياء.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‎2.‎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التمييز بين الموت الدماغي والحالة النباتية </w:t>
      </w: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(Vegetative State)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1842"/>
        <w:gridCol w:w="3094"/>
        <w:gridCol w:w="4134"/>
      </w:tblGrid>
      <w:tr>
        <w:trPr>
          <w:cantSplit/>
          <w:tblHeader/>
        </w:trPr>
        <w:tc>
          <w:tcPr>
            <w:tcW w:type="dxa" w:w="1842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وجه المقارنة</w:t>
            </w:r>
          </w:p>
        </w:tc>
        <w:tc>
          <w:tcPr>
            <w:tcW w:type="dxa" w:w="3094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الموت الدماغي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  <w:rtl w:val="false"/>
                <w:lang w:val="en-US" w:bidi="ar-SA"/>
              </w:rPr>
              <w:t xml:space="preserve">(Brain Death)</w:t>
            </w:r>
          </w:p>
        </w:tc>
        <w:tc>
          <w:tcPr>
            <w:tcW w:type="dxa" w:w="4134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الحالة النباتية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  <w:rtl w:val="false"/>
                <w:lang w:val="en-US" w:bidi="ar-SA"/>
              </w:rPr>
              <w:t xml:space="preserve">(Vegetative State)</w:t>
            </w:r>
          </w:p>
        </w:tc>
      </w:tr>
      <w:tr>
        <w:trPr>
          <w:cantSplit/>
          <w:tblHeader w:val="false"/>
        </w:trPr>
        <w:tc>
          <w:tcPr>
            <w:tcW w:type="dxa" w:w="1842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طبيعة الضرر الدماغي</w:t>
            </w:r>
          </w:p>
        </w:tc>
        <w:tc>
          <w:tcPr>
            <w:tcW w:type="dxa" w:w="309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تموت كامل وشامل للدماغ وجذعه بشكل غير عكوس</w:t>
            </w:r>
          </w:p>
        </w:tc>
        <w:tc>
          <w:tcPr>
            <w:tcW w:type="dxa" w:w="413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أذية في القشر الدماغي مع بقاء جذع الدماغ يعمل جزئياً</w:t>
            </w:r>
          </w:p>
        </w:tc>
      </w:tr>
      <w:tr>
        <w:trPr>
          <w:cantSplit/>
          <w:tblHeader w:val="false"/>
        </w:trPr>
        <w:tc>
          <w:tcPr>
            <w:tcW w:type="dxa" w:w="1842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إمكانية التحسن أو الشفاء</w:t>
            </w:r>
          </w:p>
        </w:tc>
        <w:tc>
          <w:tcPr>
            <w:tcW w:type="dxa" w:w="3094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معدومة تماماً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(توقف نهائي وغير عكوس)</w:t>
            </w:r>
          </w:p>
        </w:tc>
        <w:tc>
          <w:tcPr>
            <w:tcW w:type="dxa" w:w="4134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ممكّنة ومحتملة (قد يتحسن المريض أو يستعيد بعض الوظائف)</w:t>
            </w:r>
          </w:p>
        </w:tc>
      </w:tr>
      <w:tr>
        <w:trPr>
          <w:cantSplit/>
          <w:tblHeader w:val="false"/>
        </w:trPr>
        <w:tc>
          <w:tcPr>
            <w:tcW w:type="dxa" w:w="1842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التكييف القانوني للوفاة</w:t>
            </w:r>
          </w:p>
        </w:tc>
        <w:tc>
          <w:tcPr>
            <w:tcW w:type="dxa" w:w="309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شخص متوفى رسمياً وقانونياً</w:t>
            </w:r>
          </w:p>
        </w:tc>
        <w:tc>
          <w:tcPr>
            <w:tcW w:type="dxa" w:w="413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شخص حي يخضع للعلاج والمتابعة الطبية</w:t>
            </w:r>
          </w:p>
        </w:tc>
      </w:tr>
    </w:tbl>
    <w:p>
      <w:pPr>
        <w:spacing w:after="120" w:before="0" w:line="200"/>
      </w:pP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ثانياً: الموت المفاجئ غير المتوقع </w:t>
      </w:r>
      <w:r>
        <w:rPr>
          <w:rFonts w:ascii="Times New Roman" w:cs="Times New Roman" w:eastAsia="Times New Roman" w:hAnsi="Times New Roman"/>
          <w:b/>
          <w:bCs/>
          <w:color w:val="141B2E"/>
          <w:sz w:val="30"/>
          <w:szCs w:val="30"/>
          <w:rtl w:val="false"/>
          <w:lang w:val="en-US" w:bidi="ar-SA"/>
        </w:rPr>
        <w:t xml:space="preserve">(Sudden Unexpected Death)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‎1.‎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التعريف الأكاديمي والزمني للموت المفاجئ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تعريف الموت المفاجئ: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هو الموت الطبيعي السريع غير المتوقع الذي يحدث لدى شخص كان يبدو ظاهرياً بصحة جيدة وسليمة، ودون وجود إشراف طبي مباشر أو علامات مرضية سابقة معروفة.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‎2.‎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التصنيف الزمني للموت المفاجئ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ينقسم الموت المفاجئ بحسب الظروف الزمنية ووجود الشهود إلى ثلاثة أنماط رئيسية:</w:t>
      </w:r>
    </w:p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8450"/>
      </w:tblGrid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1.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الموت الآني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(Instantaneous Death)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يحدث فوراً وفي نفس اللحظة (خلال ثوانٍ) أثناء ممارسة الشخص لنشاطه الطبيعي (مثل سقوط الشخص فجأة وتوفيه أثناء حديثه مع الآخرين).</w:t>
            </w:r>
          </w:p>
        </w:tc>
      </w:tr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2.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الموت السريع في الحالات المشهودة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(Witnessed Rapid Death)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يحدث في الحالات التي يوجد فيها شهود عيان، وتتطور فيها الوفاة خلال مدة أقصاها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ساعة واحدة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‎(1 hour)‎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من بدايه ظهور الأعراض الجسدية المفاجئة (مثل الشعور بألم صدري أو بطني حاد أثناء تناول الطعام وتدهور الحالة والوفاة قبل الوصول للمستشفى).</w:t>
            </w:r>
          </w:p>
        </w:tc>
      </w:tr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3.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الموت المفاجئ في الحالات غير المشهودة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(Unwitnessed Death)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يُصنف الموت بأنه مفاجئ إذا كانت الحادثة غير مشهودة (غياب الشهود) ووقعت الوفاة خلال مدة أقصاها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24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ساعة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من آخر مرة شوهد فيها الشخص حياً وبصحة جيدة (مثل دخول الشخص لمنزله مساءً والعثور عليه متوفياً في الصباح التالي).</w:t>
            </w:r>
          </w:p>
        </w:tc>
      </w:tr>
    </w:tbl>
    <w:p>
      <w:pPr>
        <w:spacing w:after="60" w:before="0" w:line="120"/>
      </w:pP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‎3.‎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جدول مقارنة: الأنماط الزمنية للموت المفاجئ غير المتوقع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1700"/>
        <w:gridCol w:w="1700"/>
        <w:gridCol w:w="3051"/>
        <w:gridCol w:w="2619"/>
      </w:tblGrid>
      <w:tr>
        <w:trPr>
          <w:cantSplit/>
          <w:tblHeader/>
        </w:trPr>
        <w:tc>
          <w:tcPr>
            <w:tcW w:type="dxa" w:w="1700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النمط الزمني</w:t>
            </w:r>
          </w:p>
        </w:tc>
        <w:tc>
          <w:tcPr>
            <w:tcW w:type="dxa" w:w="1700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وجود الشهود</w:t>
            </w:r>
          </w:p>
        </w:tc>
        <w:tc>
          <w:tcPr>
            <w:tcW w:type="dxa" w:w="3051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الإطار الزمني لتطور الوفاة</w:t>
            </w:r>
          </w:p>
        </w:tc>
        <w:tc>
          <w:tcPr>
            <w:tcW w:type="dxa" w:w="2619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مثال تطبيقي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الموت الآني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مشهود</w:t>
            </w:r>
          </w:p>
        </w:tc>
        <w:tc>
          <w:tcPr>
            <w:tcW w:type="dxa" w:w="30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فورياً (خلال لحظات/ثوانٍ)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السقوط والوفاة المفاجئة أثناء الحديث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الموت السريع المشهود</w:t>
            </w:r>
          </w:p>
        </w:tc>
        <w:tc>
          <w:tcPr>
            <w:tcW w:type="dxa" w:w="1700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مشهود</w:t>
            </w:r>
          </w:p>
        </w:tc>
        <w:tc>
          <w:tcPr>
            <w:tcW w:type="dxa" w:w="3051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خلال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ساعة واحدة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من ظهور الأعراض</w:t>
            </w:r>
          </w:p>
        </w:tc>
        <w:tc>
          <w:tcPr>
            <w:tcW w:type="dxa" w:w="2619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ألم صدري مفاجئ يؤدي للوفاة خلال دقائق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الموت غير المشهود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غير مشهود</w:t>
            </w:r>
          </w:p>
        </w:tc>
        <w:tc>
          <w:tcPr>
            <w:tcW w:type="dxa" w:w="305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خلال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24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ساعة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من آخر مشاهدة حية</w:t>
            </w:r>
          </w:p>
        </w:tc>
        <w:tc>
          <w:tcPr>
            <w:tcW w:type="dxa" w:w="26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العثور على شخص متوفياً في شقته صباحاً</w:t>
            </w:r>
          </w:p>
        </w:tc>
      </w:tr>
    </w:tbl>
    <w:p>
      <w:pPr>
        <w:spacing w:after="120" w:before="0" w:line="200"/>
      </w:pP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ثالثاً: أسباب الموت المفاجئ (المنظومة القلبية الوعائية)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تُعزى معظم حالات الموت المفاجئ إلى أذية الأعضاء الحياتية الثلاثة (القلب، الدماغ، الرئتان).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نسبة الأسباب القلبية الوعائية: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تشكل الأسباب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القلبية الوعائية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(Cardiovascular Causes)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ما نسبته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‎80%‎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من إجمالي حالات الموت المفاجئ غير المتوقع في الطب الشرعي.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تُصنف الأسباب القلبية بحسب الطبقات البنيوية للقلب من الخرج إلى الداخل:</w:t>
      </w:r>
    </w:p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5"/>
        <w:gridCol w:w="6000"/>
        <w:gridCol w:w="1535"/>
      </w:tblGrid>
      <w:tr>
        <w:trPr>
          <w:cantSplit/>
        </w:trPr>
        <w:tc>
          <w:tcPr>
            <w:tcW w:type="dxa" w:w="1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 w:lineRule="auto"/>
              <w:jc w:val="center"/>
            </w:pPr>
          </w:p>
        </w:tc>
        <w:tc>
          <w:tcPr>
            <w:tcW w:type="dxa" w:w="6000"/>
            <w:tcBorders>
              <w:top w:val="single" w:color="141B2E" w:sz="8"/>
              <w:left w:val="single" w:color="141B2E" w:sz="8"/>
              <w:bottom w:val="single" w:color="141B2E" w:sz="8"/>
              <w:right w:val="single" w:color="141B2E" w:sz="8"/>
            </w:tcBorders>
            <w:shd w:fill="141B2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4"/>
                <w:szCs w:val="24"/>
                <w:rtl/>
                <w:lang w:val="ar-SA" w:bidi="ar-SA"/>
              </w:rPr>
              <w:t xml:space="preserve">الأسباب القلبية الوعائية للموت المفاجئ</w:t>
            </w:r>
          </w:p>
        </w:tc>
        <w:tc>
          <w:tcPr>
            <w:tcW w:type="dxa" w:w="1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 w:lineRule="auto"/>
              <w:jc w:val="center"/>
            </w:pPr>
          </w:p>
        </w:tc>
      </w:tr>
    </w:tbl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64"/>
        <w:gridCol w:w="240"/>
        <w:gridCol w:w="2863"/>
        <w:gridCol w:w="240"/>
        <w:gridCol w:w="2863"/>
      </w:tblGrid>
      <w:tr>
        <w:trPr>
          <w:cantSplit/>
        </w:trPr>
        <w:tc>
          <w:tcPr>
            <w:tcW w:type="dxa" w:w="2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A9761E"/>
                <w:sz w:val="24"/>
                <w:szCs w:val="24"/>
                <w:rtl w:val="false"/>
                <w:lang w:val="en-US" w:bidi="ar-SA"/>
              </w:rPr>
              <w:t xml:space="preserve">▼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 w:lineRule="auto"/>
              <w:jc w:val="center"/>
            </w:pPr>
          </w:p>
        </w:tc>
        <w:tc>
          <w:tcPr>
            <w:tcW w:type="dxa" w:w="28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A9761E"/>
                <w:sz w:val="24"/>
                <w:szCs w:val="24"/>
                <w:rtl w:val="false"/>
                <w:lang w:val="en-US" w:bidi="ar-SA"/>
              </w:rPr>
              <w:t xml:space="preserve">▼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 w:lineRule="auto"/>
              <w:jc w:val="center"/>
            </w:pPr>
          </w:p>
        </w:tc>
        <w:tc>
          <w:tcPr>
            <w:tcW w:type="dxa" w:w="28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A9761E"/>
                <w:sz w:val="24"/>
                <w:szCs w:val="24"/>
                <w:rtl w:val="false"/>
                <w:lang w:val="en-US" w:bidi="ar-SA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A9761E" w:sz="8"/>
              <w:left w:val="single" w:color="A9761E" w:sz="8"/>
              <w:bottom w:val="single" w:color="A9761E" w:sz="8"/>
              <w:right w:val="single" w:color="A9761E" w:sz="8"/>
            </w:tcBorders>
            <w:shd w:fill="F6EED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‎1.‎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أمراض التامور والطبقة الخارجية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</w:p>
        </w:tc>
        <w:tc>
          <w:tcPr>
            <w:tcW w:type="dxa" w:w="2863"/>
            <w:tcBorders>
              <w:top w:val="single" w:color="A9761E" w:sz="8"/>
              <w:left w:val="single" w:color="A9761E" w:sz="8"/>
              <w:bottom w:val="single" w:color="A9761E" w:sz="8"/>
              <w:right w:val="single" w:color="A9761E" w:sz="8"/>
            </w:tcBorders>
            <w:shd w:fill="F6EED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‎2.‎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أمراض الشرايين الإكليلية (الأشيع)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</w:p>
        </w:tc>
        <w:tc>
          <w:tcPr>
            <w:tcW w:type="dxa" w:w="2863"/>
            <w:tcBorders>
              <w:top w:val="single" w:color="A9761E" w:sz="8"/>
              <w:left w:val="single" w:color="A9761E" w:sz="8"/>
              <w:bottom w:val="single" w:color="A9761E" w:sz="8"/>
              <w:right w:val="single" w:color="A9761E" w:sz="8"/>
            </w:tcBorders>
            <w:shd w:fill="F6EED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‎3.‎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أمراض العضلة القلبية (الاعتلالات)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رابعاً: أمراض الشرايين الإكليلية المسببة للموت المفاجئ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تُعد أمراض الشرايين الإكليلية المسبب الرئيسي والأول للوفيات القلبية المفاجئة: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‎1.‎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تصلب وتضيق الشرايين الإكليلية </w:t>
      </w: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(Coronary Atherosclerosis)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الآلية الإمراضية: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يسبب التصلب العصيدي تضيقاً في لمعة الشريان الإكليلي، مما يؤدي إلى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نقص التروية الدموية الحاد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(Acute Ischemia)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وبالتالي حدوث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احتشاء العضلة القلبية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(Myocardial Infarction)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أو اضطرابات نظم قاتلة.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النسبة الحرجة للتضيق الإكليلي: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لكي يتسبب التضيق الإكليلي في حدوث نقص تروية حاد وموت مفاجئ في حالة الراحة، يجب أن تزيد نسبة التضيق في لمعة الشريان عن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‎75%‎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(أكثر من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‎75%‎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. أما التضيقات التي بلغت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‎50%‎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فقد تظهر أعراضها فقط عند الجهد الشديد.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‎2.‎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التوزيع التشريحي ونسب وقوع التصلب في الشرايين الإكليلية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تحدث التضيقات العصيدية بشكل انتقائي في أماكن محددة من الشرايين الإكليلية وفق النسب التالية:</w:t>
      </w:r>
    </w:p>
    <w:tbl>
      <w:tblPr>
        <w:bidiVisual/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8450"/>
      </w:tblGrid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1.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الشريان الإكليلي النازل الأمامي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(Left Anterior Descending Artery - LAD)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ينشأ من جذع الشريان الإكليلي الأيسر (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Left Main Trunk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الذي يبلغ طوله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‎1‎-‎2‎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سم).</w:t>
            </w:r>
          </w:p>
          <w:p>
            <w:pPr>
              <w:pBdr>
                <w:top w:val="single" w:color="BF9000" w:sz="8" w:space="4"/>
                <w:bottom w:val="single" w:color="BF9000" w:sz="8" w:space="4"/>
                <w:left w:val="single" w:color="BF9000" w:sz="8" w:space="4"/>
                <w:right w:val="single" w:color="BF9000" w:sz="8" w:space="4"/>
              </w:pBdr>
              <w:shd w:fill="FFF2CC" w:color="auto" w:val="clear"/>
              <w:bidi/>
              <w:spacing w:after="140" w:before="80" w:line="360" w:lineRule="auto"/>
              <w:ind w:start="100" w:end="100" w:left="100" w:right="100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4"/>
                <w:szCs w:val="24"/>
                <w:shd w:fill="C00000" w:color="auto" w:val="clear"/>
                <w:rtl/>
                <w:lang w:val="ar-SA" w:bidi="ar-SA"/>
              </w:rPr>
              <w:t xml:space="preserve">[هام جداً]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تحدث التضيقات في الجزء الأول منه (على بعد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‎1‎-‎2‎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سم من بدايته) 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‎45%‎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إلى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‎65%‎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من الحالات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(وهو الموقع الأشيع إطلاقاً).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التسمية الشائعة: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يُطلق عليه اسم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"صانع الأرامل"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(Widow Maker)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لخطورة التضيق فيه وتسببه بالموت المفاجئ.</w:t>
            </w:r>
          </w:p>
        </w:tc>
      </w:tr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2.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الشريان الإكليلي الايمن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(Right Coronary Artery - RCA)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يلتف حول الحافة اليمنى للقلب ويتمادى بالشريان النازل الخلفي (الذي يحدد سيطرة الشريان).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تحدث التضيقات عند الحافة اليمنى وبدايته 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‎25%‎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إلى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‎35%‎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من الحالات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3.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الشريان المنعكس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(Left Circumflex Artery - LCx)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تحدث التضيقات في بدايته 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‎5%‎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إلى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‎10%‎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من الحالات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4.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جذع الشريان الإكليلي الأيسر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(Left Main Coronary Trunk)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تحدث التضيقات في بدايته بعد المخرج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(Ostium)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‎1%‎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إلى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‎10%‎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 من الحالات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.</w:t>
            </w:r>
          </w:p>
        </w:tc>
      </w:tr>
    </w:tbl>
    <w:p>
      <w:pPr>
        <w:spacing w:after="60" w:before="0" w:line="120"/>
      </w:pP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‎3.‎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جدول مقارنة: التوزيع التشريحي لتضيقات الشرايين الإكليلية العصيدية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2295"/>
        <w:gridCol w:w="2448"/>
        <w:gridCol w:w="1700"/>
        <w:gridCol w:w="2627"/>
      </w:tblGrid>
      <w:tr>
        <w:trPr>
          <w:cantSplit/>
          <w:tblHeader/>
        </w:trPr>
        <w:tc>
          <w:tcPr>
            <w:tcW w:type="dxa" w:w="2295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الشريان الإكليلي</w:t>
            </w:r>
          </w:p>
        </w:tc>
        <w:tc>
          <w:tcPr>
            <w:tcW w:type="dxa" w:w="2448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موقع التضيق الشائع</w:t>
            </w:r>
          </w:p>
        </w:tc>
        <w:tc>
          <w:tcPr>
            <w:tcW w:type="dxa" w:w="1700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نسبة الحدوث</w:t>
            </w:r>
          </w:p>
        </w:tc>
        <w:tc>
          <w:tcPr>
            <w:tcW w:type="dxa" w:w="2627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التسمية المميزة / الملاحظة</w:t>
            </w:r>
          </w:p>
        </w:tc>
      </w:tr>
      <w:tr>
        <w:trPr>
          <w:cantSplit/>
          <w:tblHeader w:val="false"/>
        </w:trPr>
        <w:tc>
          <w:tcPr>
            <w:tcW w:type="dxa" w:w="2295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النازل الأمامي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(LAD)</w:t>
            </w:r>
          </w:p>
        </w:tc>
        <w:tc>
          <w:tcPr>
            <w:tcW w:type="dxa" w:w="24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الجزء الأول (أول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‎1‎-‎2‎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سم من بدايته)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‎45%‎ - ‎65%‎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(الأشيع)</w:t>
            </w:r>
          </w:p>
        </w:tc>
        <w:tc>
          <w:tcPr>
            <w:tcW w:type="dxa" w:w="26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يُسمى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"صانع الأرامل"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(Widow Maker)</w:t>
            </w:r>
          </w:p>
        </w:tc>
      </w:tr>
      <w:tr>
        <w:trPr>
          <w:cantSplit/>
          <w:tblHeader w:val="false"/>
        </w:trPr>
        <w:tc>
          <w:tcPr>
            <w:tcW w:type="dxa" w:w="2295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الإكليلي الأيمن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(RCA)</w:t>
            </w:r>
          </w:p>
        </w:tc>
        <w:tc>
          <w:tcPr>
            <w:tcW w:type="dxa" w:w="2448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عند الحافة اليمنى وبدايته</w:t>
            </w:r>
          </w:p>
        </w:tc>
        <w:tc>
          <w:tcPr>
            <w:tcW w:type="dxa" w:w="1700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‎25%‎ - ‎35%‎</w:t>
            </w:r>
          </w:p>
        </w:tc>
        <w:tc>
          <w:tcPr>
            <w:tcW w:type="dxa" w:w="2627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يتمادى غالباً بالنازل الخلفي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(Dominant)</w:t>
            </w:r>
          </w:p>
        </w:tc>
      </w:tr>
      <w:tr>
        <w:trPr>
          <w:cantSplit/>
          <w:tblHeader w:val="false"/>
        </w:trPr>
        <w:tc>
          <w:tcPr>
            <w:tcW w:type="dxa" w:w="2295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الشريان المنعكس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(LCx)</w:t>
            </w:r>
          </w:p>
        </w:tc>
        <w:tc>
          <w:tcPr>
            <w:tcW w:type="dxa" w:w="24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عند بدايات الشريان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‎5%‎ - ‎10%‎</w:t>
            </w:r>
          </w:p>
        </w:tc>
        <w:tc>
          <w:tcPr>
            <w:tcW w:type="dxa" w:w="26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ينشأ من الجذع الأيسر</w:t>
            </w:r>
          </w:p>
        </w:tc>
      </w:tr>
      <w:tr>
        <w:trPr>
          <w:cantSplit/>
          <w:tblHeader w:val="false"/>
        </w:trPr>
        <w:tc>
          <w:tcPr>
            <w:tcW w:type="dxa" w:w="2295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جذع الإكليلي الأيسر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(Trunk)</w:t>
            </w:r>
          </w:p>
        </w:tc>
        <w:tc>
          <w:tcPr>
            <w:tcW w:type="dxa" w:w="2448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بعد مخرجه المباشر</w:t>
            </w:r>
          </w:p>
        </w:tc>
        <w:tc>
          <w:tcPr>
            <w:tcW w:type="dxa" w:w="1700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‎1%‎ - ‎10%‎</w:t>
            </w:r>
          </w:p>
        </w:tc>
        <w:tc>
          <w:tcPr>
            <w:tcW w:type="dxa" w:w="2627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يبلغ طوله الأصلي (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‎1‎-‎2‎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سم)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‎4.‎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أمراض الشرايين الإكليلية غير العصيدية (المسببة لموت الشباب)</w:t>
      </w:r>
    </w:p>
    <w:p>
      <w:pPr>
        <w:bidi/>
        <w:spacing w:after="10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تصلب الشرايين شائع بعد سن الثلاثين، بينما تُعزى الوفاة المفاجئة الإكليلية لدى الشباب (دون سن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30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) إلى حالات أخرى: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أ. الجسور الإكليلية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(Myocardial Bridging / Bridging)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التشريح والمرض: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الشرايين الإكليلية تسير طبيعياً على سطح القلب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(Epicardium)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. في حالة الجسور الإكليلية، يغوص الشريان النازل الأمامي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(LAD)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داخل عمق العضلة القلبية.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الآلية الفيزيولوجية: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أثناء الانقباض السيني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(Systole)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ينضغط الشريان. وبما أن العضلة القلبية تتغذى أساساً أثناء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الانبساط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(Diastole)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، فإن الحالة تكون سليمة في الراحة.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آلية الموت المفاجئ: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عند ممارسة الجهد الفيزيائي الشديد، يقل زمن الانبساط القلبية بدرجة كبيرة، مما يؤدي إلى نقص تروية حاد ينجم عنه اضطراب نظم قاتل وموت مفاجئ.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ب. التشوهات الولادية في الشرايين الإكليلية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(Congenital Coronary Anomalies)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المفهوم: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خروج الشرايين الإكليلية من غير مواقعها التشريحية الطبيعية (مثل خروج الشريان الأيسر والأيمن من فتحة واحدة فوق الوريقة الدسامية اليمنى وتغير مساره).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الفئة المستهدفة: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تُسبب الموت المفاجئ لدى الشباب بعمر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18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إلى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25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سنة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(خاصة بين الرياضيين والعساكر أثناء التدريبات القاسية).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ج. أم الدم المسلخة في الشرايين الإكليلية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(Coronary Artery Dissection)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النمط الثانوي: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ناجم عن امتيداد تسلخ الشريان الأبهر الصاعد، أو ناجم عن رد مباشر على الصدر، أو خطأ رضي أثناء عمليات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قسطرة الشرايين الإكليلية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النمط العفوي البدئي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(Spontaneous Dissection)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:</w:t>
      </w:r>
    </w:p>
    <w:p>
      <w:pPr>
        <w:pStyle w:val="ListParagraph"/>
        <w:numPr>
          <w:ilvl w:val="1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يحدث بنسبة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‎80%‎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لدى النساء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.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500" w:end="100" w:left="5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التوقيت الخطر لحدث أم الدم المسلخة العفوية: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تظهر حصراً خلال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فترة النفاس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، والشهر الأخير قبل الولادة، والأشهر الأولى بعد الولادة.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‎5.‎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جدول مقارنة: الأسباب الإكليلية للموت المفاجئ عند الشباب (دون </w:t>
      </w: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30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سنة)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1828"/>
        <w:gridCol w:w="3114"/>
        <w:gridCol w:w="4128"/>
      </w:tblGrid>
      <w:tr>
        <w:trPr>
          <w:cantSplit/>
          <w:tblHeader/>
        </w:trPr>
        <w:tc>
          <w:tcPr>
            <w:tcW w:type="dxa" w:w="1828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المرض الإكليلي</w:t>
            </w:r>
          </w:p>
        </w:tc>
        <w:tc>
          <w:tcPr>
            <w:tcW w:type="dxa" w:w="3114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الآلية والمظهر التشريحي</w:t>
            </w:r>
          </w:p>
        </w:tc>
        <w:tc>
          <w:tcPr>
            <w:tcW w:type="dxa" w:w="4128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الفئة الأكثر عرضة / ظروف الحدوث</w:t>
            </w:r>
          </w:p>
        </w:tc>
      </w:tr>
      <w:tr>
        <w:trPr>
          <w:cantSplit/>
          <w:tblHeader w:val="false"/>
        </w:trPr>
        <w:tc>
          <w:tcPr>
            <w:tcW w:type="dxa" w:w="1828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الجسور الإكليلية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(Bridging)</w:t>
            </w:r>
          </w:p>
        </w:tc>
        <w:tc>
          <w:tcPr>
            <w:tcW w:type="dxa" w:w="31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انغماس الشريان الإكليلي في عمق العضلة القلبية</w:t>
            </w:r>
          </w:p>
        </w:tc>
        <w:tc>
          <w:tcPr>
            <w:tcW w:type="dxa" w:w="41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تحدث الوفاة أثناء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الجهد الفيزيائي الشديد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(نقص زمن الانبساط)</w:t>
            </w:r>
          </w:p>
        </w:tc>
      </w:tr>
      <w:tr>
        <w:trPr>
          <w:cantSplit/>
          <w:tblHeader w:val="false"/>
        </w:trPr>
        <w:tc>
          <w:tcPr>
            <w:tcW w:type="dxa" w:w="1828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التشوهات الولادية</w:t>
            </w:r>
          </w:p>
        </w:tc>
        <w:tc>
          <w:tcPr>
            <w:tcW w:type="dxa" w:w="3114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شذوذ منشأ ومسار الشرايين الإكليلية</w:t>
            </w:r>
          </w:p>
        </w:tc>
        <w:tc>
          <w:tcPr>
            <w:tcW w:type="dxa" w:w="4128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الشباب بعمر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‎18‎-‎25‎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 سنة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(الرياضيون والعساكر)</w:t>
            </w:r>
          </w:p>
        </w:tc>
      </w:tr>
      <w:tr>
        <w:trPr>
          <w:cantSplit/>
          <w:tblHeader w:val="false"/>
        </w:trPr>
        <w:tc>
          <w:tcPr>
            <w:tcW w:type="dxa" w:w="1828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أم الدم المسلخة العفوية</w:t>
            </w:r>
          </w:p>
        </w:tc>
        <w:tc>
          <w:tcPr>
            <w:tcW w:type="dxa" w:w="31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تسلخ تلقائي في جدار الشريان الإكليلي</w:t>
            </w:r>
          </w:p>
        </w:tc>
        <w:tc>
          <w:tcPr>
            <w:tcW w:type="dxa" w:w="41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النساء (بنسبة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‎80%‎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)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خلال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فترة النفاس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وما حول الولادة</w:t>
            </w:r>
          </w:p>
        </w:tc>
      </w:tr>
    </w:tbl>
    <w:p>
      <w:pPr>
        <w:spacing w:after="120" w:before="0" w:line="200"/>
      </w:pPr>
    </w:p>
    <w:p>
      <w:pPr>
        <w:pStyle w:val="Heading2"/>
        <w:keepNext/>
        <w:pBdr>
          <w:top w:val="single" w:color="F6EEDF" w:sz="4"/>
          <w:bottom w:val="thick" w:color="A9761E" w:sz="18" w:space="2"/>
          <w:left w:val="single" w:color="F6EEDF" w:sz="4"/>
          <w:right w:val="single" w:color="F6EEDF" w:sz="4"/>
        </w:pBdr>
        <w:shd w:fill="F6EEDF" w:color="auto" w:val="clear"/>
        <w:bidi/>
        <w:spacing w:after="160" w:before="320" w:line="300" w:lineRule="auto"/>
      </w:pPr>
      <w:r>
        <w:rPr>
          <w:rFonts w:ascii="Times New Roman" w:cs="Simplified Arabic" w:eastAsia="Simplified Arabic" w:hAnsi="Times New Roman"/>
          <w:b/>
          <w:bCs/>
          <w:color w:val="141B2E"/>
          <w:sz w:val="30"/>
          <w:szCs w:val="30"/>
          <w:rtl/>
          <w:lang w:val="ar-SA" w:bidi="ar-SA"/>
        </w:rPr>
        <w:t xml:space="preserve">خامساً: أمراض واعتلالات العضلة القلبية </w:t>
      </w:r>
      <w:r>
        <w:rPr>
          <w:rFonts w:ascii="Times New Roman" w:cs="Times New Roman" w:eastAsia="Times New Roman" w:hAnsi="Times New Roman"/>
          <w:b/>
          <w:bCs/>
          <w:color w:val="141B2E"/>
          <w:sz w:val="30"/>
          <w:szCs w:val="30"/>
          <w:rtl w:val="false"/>
          <w:lang w:val="en-US" w:bidi="ar-SA"/>
        </w:rPr>
        <w:t xml:space="preserve">(Cardiomyopathies)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‎1.‎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التعريف الأكاديمي لإعتلال العضلة القلبية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تعريف اعتلال العضلة القلبية: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هو اضطراب وظيفي وبنيوي في العضلة القلبية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غير ناجم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عن ارتفاع الضغط الشرياني، ولا عن نقص التروية الإكليلي، ولا عن أمراض الصمامات القلبية، ولا عن التشوهات الولادية البنيوية.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‎2.‎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أنواع اعتلالات العضلة القلبية الرئيسية الثلاثة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أ. الاعتلال التوسعي الاحتقاني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(Dilated / Congestive Cardiomyopathy)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المظاهر التشريحية: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توسع وتضخم كبير في جميع حجرات القلب (البطينين والاذينين)، حيث قد يصل وزن القلب إلى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‎700‎ - ‎1000‎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غرام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(الوزن الطبيعي نحو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300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غرام).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آلية الوفاة: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حدوث رجفان بطيني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(Ventricular Fibrillation)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واضطرابات نظم قاتلة.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الأسباب الرئيسية:</w:t>
      </w:r>
    </w:p>
    <w:tbl>
      <w:tblPr>
        <w:bidiVisual/>
        <w:tblW w:type="dxa" w:w="8670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8050"/>
      </w:tblGrid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1.</w:t>
            </w:r>
          </w:p>
        </w:tc>
        <w:tc>
          <w:tcPr>
            <w:tcW w:type="dxa" w:w="8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الكحولية المزمنة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(Chronic Alcoholism)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: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تُعد السبب الأكثر أهمية وشيوعاً.</w:t>
            </w:r>
          </w:p>
        </w:tc>
      </w:tr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2.</w:t>
            </w:r>
          </w:p>
        </w:tc>
        <w:tc>
          <w:tcPr>
            <w:tcW w:type="dxa" w:w="8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السموم والادوية: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التعرض لمادة الكوبالت (المضافة للكحول)، أو عقار </w:t>
            </w: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الأدريامايسين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4"/>
                <w:szCs w:val="24"/>
                <w:rtl w:val="false"/>
                <w:lang w:val="en-US" w:bidi="ar-SA"/>
              </w:rPr>
              <w:t xml:space="preserve">(Adriamycin)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المستخدم في علاج السرطانات.</w:t>
            </w:r>
          </w:p>
        </w:tc>
      </w:tr>
      <w:tr>
        <w:trPr>
          <w:cantSplit w:val="false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EEDF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top"/>
          </w:tcPr>
          <w:p>
            <w:pPr>
              <w:bidi w:val="false"/>
              <w:spacing w:after="0" w:before="0" w:line="360"/>
              <w:jc w:val="center"/>
            </w:pPr>
            <w:r>
              <w:rPr>
                <w:rFonts w:ascii="Times New Roman" w:cs="Times New Roman" w:hAnsi="Times New Roman"/>
                <w:b/>
                <w:bCs/>
                <w:color w:val="A9761E"/>
                <w:sz w:val="24"/>
                <w:szCs w:val="24"/>
                <w:rtl w:val="false"/>
                <w:lang w:val="en-US"/>
              </w:rPr>
              <w:t xml:space="preserve">3.</w:t>
            </w:r>
          </w:p>
        </w:tc>
        <w:tc>
          <w:tcPr>
            <w:tcW w:type="dxa" w:w="8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40" w:before="0" w:line="360" w:lineRule="auto"/>
              <w:jc w:val="both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4"/>
                <w:szCs w:val="24"/>
                <w:rtl/>
                <w:lang w:val="ar-SA" w:bidi="ar-SA"/>
              </w:rPr>
              <w:t xml:space="preserve">اعتلال فترة النفاس: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يحدث لدى النساء خلال فترة النفاس وحتى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false"/>
                <w:lang w:val="en-US" w:bidi="ar-SA"/>
              </w:rPr>
              <w:t xml:space="preserve">6</w:t>
            </w:r>
            <w:r>
              <w:rPr>
                <w:rFonts w:ascii="Times New Roman" w:cs="Simplified Arabic" w:eastAsia="Simplified Arabic" w:hAnsi="Times New Roman"/>
                <w:sz w:val="24"/>
                <w:szCs w:val="24"/>
                <w:rtl/>
                <w:lang w:val="ar-SA" w:bidi="ar-SA"/>
              </w:rPr>
              <w:t xml:space="preserve"> أشهر بعد الولادة (وغالبيتهن يشفين بعد سنة).</w:t>
            </w:r>
          </w:p>
        </w:tc>
      </w:tr>
    </w:tbl>
    <w:p>
      <w:pPr>
        <w:spacing w:after="60" w:before="0" w:line="120"/>
      </w:pP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ب. الاعتلال الضخامي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(Hypertrophic Cardiomyopathy - HCM)</w:t>
      </w:r>
    </w:p>
    <w:p>
      <w:pPr>
        <w:pBdr>
          <w:top w:val="single" w:color="BF9000" w:sz="8" w:space="4"/>
          <w:bottom w:val="single" w:color="BF9000" w:sz="8" w:space="4"/>
          <w:left w:val="single" w:color="BF9000" w:sz="8" w:space="4"/>
          <w:right w:val="single" w:color="BF9000" w:sz="8" w:space="4"/>
        </w:pBdr>
        <w:shd w:fill="FFF2CC" w:color="auto" w:val="clear"/>
        <w:bidi/>
        <w:spacing w:after="140" w:before="80" w:line="360" w:lineRule="auto"/>
        <w:ind w:start="100" w:end="100" w:left="100" w:right="100"/>
        <w:jc w:val="both"/>
      </w:pPr>
      <w:r>
        <w:rPr>
          <w:rFonts w:ascii="Times New Roman" w:cs="Simplified Arabic" w:eastAsia="Simplified Arabic" w:hAnsi="Times New Roman"/>
          <w:b/>
          <w:bCs/>
          <w:color w:val="FFFFFF"/>
          <w:sz w:val="24"/>
          <w:szCs w:val="24"/>
          <w:shd w:fill="C00000" w:color="auto" w:val="clear"/>
          <w:rtl/>
          <w:lang w:val="ar-SA" w:bidi="ar-SA"/>
        </w:rPr>
        <w:t xml:space="preserve">[هام جداً]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الصفة الوراثية للاعتلال الضخامي: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يُعد هذا النوع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مرضاً عائلياً وراثياً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(Familial)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بامتياز. عند تشخيص حالة وفاة بهذا المرض أثناء التشريح، يتوجب حتماً فحص أشقاء وأقارب المتوفى.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المظهر التشريحي: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ضخامة شديدة غير متناظرة في جدران البطين والحاجز بين البطينين (خاصة المنطقة تحت الأبهرية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Subaortic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الأهمية: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يُعد من أهم أسباب الموت المفاجئ لدى الشباب والرياضيين.</w:t>
      </w:r>
    </w:p>
    <w:p>
      <w:pPr>
        <w:pStyle w:val="Heading4"/>
        <w:keepNext/>
        <w:bidi/>
        <w:spacing w:after="80" w:before="200" w:line="300" w:lineRule="auto"/>
      </w:pPr>
      <w:r>
        <w:rPr>
          <w:rFonts w:ascii="Times New Roman" w:cs="Simplified Arabic" w:eastAsia="Simplified Arabic" w:hAnsi="Times New Roman"/>
          <w:b/>
          <w:bCs/>
          <w:color w:val="8A5E12"/>
          <w:sz w:val="26"/>
          <w:szCs w:val="26"/>
          <w:rtl/>
          <w:lang w:val="ar-SA" w:bidi="ar-SA"/>
        </w:rPr>
        <w:t xml:space="preserve">ج. الاعتلال الحاصر </w:t>
      </w:r>
      <w:r>
        <w:rPr>
          <w:rFonts w:ascii="Times New Roman" w:cs="Times New Roman" w:eastAsia="Times New Roman" w:hAnsi="Times New Roman"/>
          <w:b/>
          <w:bCs/>
          <w:color w:val="8A5E12"/>
          <w:sz w:val="26"/>
          <w:szCs w:val="26"/>
          <w:rtl w:val="false"/>
          <w:lang w:val="en-US" w:bidi="ar-SA"/>
        </w:rPr>
        <w:t xml:space="preserve">(Restrictive Cardiomyopathy)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الآلية: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ناجم عن ارتشاح العضلة القلبية بمواد غريبة مثل (الداء النشاواني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Amyloidosis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، الساركويئيد </w:t>
      </w:r>
      <w:r>
        <w:rPr>
          <w:rFonts w:ascii="Times New Roman" w:cs="Times New Roman" w:eastAsia="Times New Roman" w:hAnsi="Times New Roman"/>
          <w:sz w:val="24"/>
          <w:szCs w:val="24"/>
          <w:rtl w:val="false"/>
          <w:lang w:val="en-US" w:bidi="ar-SA"/>
        </w:rPr>
        <w:t xml:space="preserve">Sarcoidosis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، أو أدواء تخزين الجليكوجين).</w:t>
      </w:r>
    </w:p>
    <w:p>
      <w:pPr>
        <w:pStyle w:val="ListParagraph"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الموقف الطبي الشرعي: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مرضي مزمن بطيء،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لا يسبب الموت المفاجئ إطلاقاً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ولا يشكل أهمية في ممارسة الطب الشرعي.</w:t>
      </w:r>
    </w:p>
    <w:p>
      <w:pPr>
        <w:pStyle w:val="Heading3"/>
        <w:keepNext/>
        <w:pBdr>
          <w:bottom w:val="dotted" w:color="146B5D" w:sz="6" w:space="1"/>
        </w:pBdr>
        <w:bidi/>
        <w:spacing w:after="120" w:before="240" w:line="300" w:lineRule="auto"/>
      </w:pPr>
      <w:r>
        <w:rPr>
          <w:rFonts w:ascii="Times New Roman" w:cs="Times New Roman" w:eastAsia="Times New Roman" w:hAnsi="Times New Roman"/>
          <w:b/>
          <w:bCs/>
          <w:color w:val="146B5D"/>
          <w:sz w:val="27"/>
          <w:szCs w:val="27"/>
          <w:rtl w:val="false"/>
          <w:lang w:val="en-US" w:bidi="ar-SA"/>
        </w:rPr>
        <w:t xml:space="preserve">‎3.‎</w:t>
      </w:r>
      <w:r>
        <w:rPr>
          <w:rFonts w:ascii="Times New Roman" w:cs="Simplified Arabic" w:eastAsia="Simplified Arabic" w:hAnsi="Times New Roman"/>
          <w:b/>
          <w:bCs/>
          <w:color w:val="146B5D"/>
          <w:sz w:val="27"/>
          <w:szCs w:val="27"/>
          <w:rtl/>
          <w:lang w:val="ar-SA" w:bidi="ar-SA"/>
        </w:rPr>
        <w:t xml:space="preserve"> جدول مقارنة: أنواع اعتلالات العضلة القلبية الثلاثة</w:t>
      </w:r>
    </w:p>
    <w:tbl>
      <w:tblPr>
        <w:bidiVisual/>
        <w:tblW w:type="dxa" w:w="9070"/>
        <w:tblBorders>
          <w:top w:val="single" w:color="D9C49A" w:sz="6"/>
          <w:left w:val="single" w:color="D9C49A" w:sz="6"/>
          <w:bottom w:val="single" w:color="D9C49A" w:sz="6"/>
          <w:right w:val="single" w:color="D9C49A" w:sz="6"/>
          <w:insideH w:val="single" w:color="D9C49A" w:sz="4"/>
          <w:insideV w:val="single" w:color="D9C49A" w:sz="4"/>
        </w:tblBorders>
        <w:tblLayout w:type="fixed"/>
      </w:tblPr>
      <w:tblGrid>
        <w:gridCol w:w="1700"/>
        <w:gridCol w:w="2754"/>
        <w:gridCol w:w="2439"/>
        <w:gridCol w:w="2177"/>
      </w:tblGrid>
      <w:tr>
        <w:trPr>
          <w:cantSplit/>
          <w:tblHeader/>
        </w:trPr>
        <w:tc>
          <w:tcPr>
            <w:tcW w:type="dxa" w:w="1700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نوع الاعتلال</w:t>
            </w:r>
          </w:p>
        </w:tc>
        <w:tc>
          <w:tcPr>
            <w:tcW w:type="dxa" w:w="2754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التغير التشريحي البارز</w:t>
            </w:r>
          </w:p>
        </w:tc>
        <w:tc>
          <w:tcPr>
            <w:tcW w:type="dxa" w:w="2439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المسبب الرئيسي</w:t>
            </w:r>
          </w:p>
        </w:tc>
        <w:tc>
          <w:tcPr>
            <w:tcW w:type="dxa" w:w="2177"/>
            <w:shd w:fill="141B2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  <w:jc w:val="center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FFFFFF"/>
                <w:sz w:val="22"/>
                <w:szCs w:val="22"/>
                <w:rtl/>
                <w:lang w:val="ar-SA" w:bidi="ar-SA"/>
              </w:rPr>
              <w:t xml:space="preserve">إمكانية التسبب بالموت المفاجئ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التوسعي الاحتقاني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(Dilated)</w:t>
            </w:r>
          </w:p>
        </w:tc>
        <w:tc>
          <w:tcPr>
            <w:tcW w:type="dxa" w:w="275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توسع كافة الحجرات وزيادة الوزن (حتى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rtl w:val="false"/>
                <w:lang w:val="en-US" w:bidi="ar-SA"/>
              </w:rPr>
              <w:t xml:space="preserve">1000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غ)</w:t>
            </w:r>
          </w:p>
        </w:tc>
        <w:tc>
          <w:tcPr>
            <w:tcW w:type="dxa" w:w="243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الكحولية المزمنة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، أدوية السرطان (الأدريامايسين)، والنفاس</w:t>
            </w:r>
          </w:p>
        </w:tc>
        <w:tc>
          <w:tcPr>
            <w:tcW w:type="dxa" w:w="21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نعم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(رجفان بطيني واضطراب نظم)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الضخامي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(Hypertrophic)</w:t>
            </w:r>
          </w:p>
        </w:tc>
        <w:tc>
          <w:tcPr>
            <w:tcW w:type="dxa" w:w="2754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ضخامة جدار البطين والحاجز تحت الأبهري</w:t>
            </w:r>
          </w:p>
        </w:tc>
        <w:tc>
          <w:tcPr>
            <w:tcW w:type="dxa" w:w="2439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وراثي عائلي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(Familial)</w:t>
            </w:r>
          </w:p>
        </w:tc>
        <w:tc>
          <w:tcPr>
            <w:tcW w:type="dxa" w:w="2177"/>
            <w:shd w:fill="FAF7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نعم</w:t>
            </w: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 (أهم أسباب موت الرياضيين)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6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الحاصر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2"/>
                <w:szCs w:val="22"/>
                <w:rtl w:val="false"/>
                <w:lang w:val="en-US" w:bidi="ar-SA"/>
              </w:rPr>
              <w:t xml:space="preserve">(Restrictive)</w:t>
            </w:r>
          </w:p>
        </w:tc>
        <w:tc>
          <w:tcPr>
            <w:tcW w:type="dxa" w:w="275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ارتشاح النسيج بالنشاواني أو الساركويئيد</w:t>
            </w:r>
          </w:p>
        </w:tc>
        <w:tc>
          <w:tcPr>
            <w:tcW w:type="dxa" w:w="243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sz w:val="22"/>
                <w:szCs w:val="22"/>
                <w:rtl/>
                <w:lang w:val="ar-SA" w:bidi="ar-SA"/>
              </w:rPr>
              <w:t xml:space="preserve">أمراض ارتشاحية وتخزينية مزمنة</w:t>
            </w:r>
          </w:p>
        </w:tc>
        <w:tc>
          <w:tcPr>
            <w:tcW w:type="dxa" w:w="217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76" w:lineRule="auto"/>
            </w:pPr>
            <w:r>
              <w:rPr>
                <w:rFonts w:ascii="Times New Roman" w:cs="Simplified Arabic" w:eastAsia="Simplified Arabic" w:hAnsi="Times New Roman"/>
                <w:b/>
                <w:bCs/>
                <w:color w:val="1B2A4A"/>
                <w:sz w:val="22"/>
                <w:szCs w:val="22"/>
                <w:rtl/>
                <w:lang w:val="ar-SA" w:bidi="ar-SA"/>
              </w:rPr>
              <w:t xml:space="preserve">لا يسبب الموت المفاجئ</w:t>
            </w:r>
          </w:p>
        </w:tc>
      </w:tr>
    </w:tbl>
    <w:p>
      <w:pPr>
        <w:spacing w:after="120" w:before="0" w:line="200"/>
      </w:pPr>
    </w:p>
    <w:p>
      <w:pPr>
        <w:pBdr>
          <w:top w:val="dashed" w:color="A9761E" w:sz="6" w:space="5"/>
          <w:bottom w:val="dashed" w:color="A9761E" w:sz="6" w:space="5"/>
          <w:left w:val="dashed" w:color="A9761E" w:sz="6" w:space="5"/>
          <w:right w:val="dashed" w:color="A9761E" w:sz="6" w:space="5"/>
        </w:pBdr>
        <w:shd w:fill="EAF3F0" w:color="auto" w:val="clear"/>
        <w:bidi/>
        <w:spacing w:after="120" w:before="240" w:line="360" w:lineRule="auto"/>
        <w:jc w:val="both"/>
      </w:pPr>
      <w:r>
        <w:rPr>
          <w:rFonts w:ascii="Segoe UI Emoji" w:cs="Segoe UI Emoji" w:hAnsi="Segoe UI Emoji"/>
          <w:sz w:val="24"/>
          <w:szCs w:val="24"/>
          <w:rtl w:val="false"/>
          <w:lang w:val="en-US" w:bidi="ar-SA"/>
        </w:rPr>
        <w:t xml:space="preserve">💡</w:t>
      </w:r>
      <w:r>
        <w:rPr>
          <w:rFonts w:ascii="Times New Roman" w:cs="Simplified Arabic" w:eastAsia="Simplified Arabic" w:hAnsi="Times New Roman"/>
          <w:sz w:val="24"/>
          <w:szCs w:val="24"/>
          <w:rtl/>
          <w:lang w:val="ar-SA" w:bidi="ar-SA"/>
        </w:rPr>
        <w:t xml:space="preserve"> 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هل ترغب في تحويل هذا التفريغ النصي إلى بطاقات استذكار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(Flashcards)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للمراجعة السريعة، أو إنشاء اختبار تفاعلي </w:t>
      </w:r>
      <w:r>
        <w:rPr>
          <w:rFonts w:ascii="Times New Roman" w:cs="Times New Roman" w:eastAsia="Times New Roman" w:hAnsi="Times New Roman"/>
          <w:b/>
          <w:bCs/>
          <w:color w:val="1B2A4A"/>
          <w:sz w:val="24"/>
          <w:szCs w:val="24"/>
          <w:rtl w:val="false"/>
          <w:lang w:val="en-US" w:bidi="ar-SA"/>
        </w:rPr>
        <w:t xml:space="preserve">(Quiz)</w:t>
      </w:r>
      <w:r>
        <w:rPr>
          <w:rFonts w:ascii="Times New Roman" w:cs="Simplified Arabic" w:eastAsia="Simplified Arabic" w:hAnsi="Times New Roman"/>
          <w:b/>
          <w:bCs/>
          <w:color w:val="1B2A4A"/>
          <w:sz w:val="24"/>
          <w:szCs w:val="24"/>
          <w:rtl/>
          <w:lang w:val="ar-SA" w:bidi="ar-SA"/>
        </w:rPr>
        <w:t xml:space="preserve"> لتأكيد الفهم؟</w:t>
      </w:r>
    </w:p>
    <w:sectPr>
      <w:headerReference w:type="default" r:id="rId11"/>
      <w:footerReference w:type="default" r:id="rId12"/>
      <w:pgSz w:w="11906" w:h="16838" w:orient="portrait"/>
      <w:pgMar w:top="1418" w:right="1418" w:bottom="1418" w:left="1418" w:header="709" w:footer="709" w:gutter="0"/>
      <w:pgNumType w:start="1" w:fmt="decimal"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FFFFFF" w:color="auto" w:val="clear"/>
      <w:bidi/>
      <w:spacing w:after="60"/>
      <w:jc w:val="center"/>
    </w:pPr>
    <w:r>
      <w:rPr>
        <w:rFonts w:ascii="Times New Roman" w:cs="Times New Roman" w:eastAsia="Times New Roman" w:hAnsi="Times New Roman"/>
        <w:b/>
        <w:bCs/>
        <w:color w:val="A9761E"/>
        <w:sz w:val="46"/>
        <w:szCs w:val="46"/>
        <w:rtl w:val="false"/>
        <w:lang w:val="en-US" w:bidi="ar-SA"/>
      </w:rPr>
      <w:t xml:space="preserve">Random.MEd</w:t>
    </w:r>
  </w:p>
  <w:p>
    <w:pPr>
      <w:shd w:fill="FFFFFF" w:color="auto" w:val="clear"/>
      <w:bidi/>
      <w:spacing w:after="0"/>
      <w:jc w:val="center"/>
    </w:pPr>
    <w:r>
      <w:rPr>
        <w:rFonts w:ascii="Times New Roman" w:cs="Times New Roman" w:eastAsia="Times New Roman" w:hAnsi="Times New Roman"/>
        <w:color w:val="404040"/>
        <w:sz w:val="21"/>
        <w:szCs w:val="21"/>
        <w:rtl w:val="false"/>
        <w:lang w:val="en-US" w:bidi="ar-SA"/>
      </w:rPr>
      <w:t xml:space="preserve">© </w:t>
    </w:r>
    <w:r>
      <w:rPr>
        <w:rFonts w:ascii="Times New Roman" w:cs="Times New Roman" w:eastAsia="Times New Roman" w:hAnsi="Times New Roman"/>
        <w:color w:val="404040"/>
        <w:sz w:val="21"/>
        <w:szCs w:val="21"/>
        <w:rtl w:val="false"/>
        <w:lang w:val="en-US" w:bidi="ar-SA"/>
      </w:rPr>
      <w:t xml:space="preserve">2026 </w:t>
    </w:r>
    <w:r>
      <w:rPr>
        <w:rFonts w:ascii="Times New Roman" w:cs="Times New Roman" w:eastAsia="Times New Roman" w:hAnsi="Times New Roman"/>
        <w:b/>
        <w:bCs/>
        <w:color w:val="A9761E"/>
        <w:sz w:val="21"/>
        <w:szCs w:val="21"/>
        <w:rtl w:val="false"/>
        <w:lang w:val="en-US" w:bidi="ar-SA"/>
      </w:rPr>
      <w:t xml:space="preserve">Random.MEd</w:t>
    </w:r>
    <w:r>
      <w:rPr>
        <w:rFonts w:ascii="Times New Roman" w:cs="Simplified Arabic" w:eastAsia="Simplified Arabic" w:hAnsi="Times New Roman"/>
        <w:color w:val="404040"/>
        <w:sz w:val="21"/>
        <w:szCs w:val="21"/>
        <w:rtl/>
        <w:lang w:val="ar-SA" w:bidi="ar-SA"/>
      </w:rPr>
      <w:t xml:space="preserve"> — جميع الحقوق محفوظة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center"/>
    </w:pPr>
    <w:r>
      <w:rPr>
        <w:rFonts w:ascii="Times New Roman" w:cs="Simplified Arabic" w:eastAsia="Simplified Arabic" w:hAnsi="Times New Roman"/>
        <w:b/>
        <w:bCs/>
        <w:color w:val="141B2E"/>
        <w:sz w:val="20"/>
        <w:szCs w:val="20"/>
        <w:rtl/>
        <w:lang w:val="ar-SA" w:bidi="ar-SA"/>
      </w:rPr>
      <w:t xml:space="preserve">صفحة </w:t>
    </w:r>
    <w:r>
      <w:rPr>
        <w:rFonts w:ascii="Times New Roman" w:cs="Times New Roman" w:hAnsi="Times New Roman"/>
        <w:b/>
        <w:bCs/>
        <w:color w:val="A9761E"/>
        <w:sz w:val="22"/>
        <w:szCs w:val="22"/>
        <w:lang w:val="en-US"/>
      </w:rPr>
      <w:fldChar w:fldCharType="begin"/>
      <w:instrText xml:space="preserve">PAGE</w:instrText>
      <w:fldChar w:fldCharType="separate"/>
      <w:fldChar w:fldCharType="end"/>
    </w:r>
  </w:p>
  <w:p>
    <w:pPr>
      <w:bidi/>
      <w:spacing w:after="0" w:before="20"/>
      <w:jc w:val="center"/>
    </w:pPr>
    <w:r>
      <w:rPr>
        <w:rFonts w:ascii="Times New Roman" w:cs="Times New Roman" w:eastAsia="Times New Roman" w:hAnsi="Times New Roman"/>
        <w:color w:val="7F7F7F"/>
        <w:sz w:val="18"/>
        <w:szCs w:val="18"/>
        <w:rtl w:val="false"/>
        <w:lang w:val="en-US" w:bidi="ar-SA"/>
      </w:rPr>
      <w:t xml:space="preserve">© </w:t>
    </w:r>
    <w:r>
      <w:rPr>
        <w:rFonts w:ascii="Times New Roman" w:cs="Times New Roman" w:eastAsia="Times New Roman" w:hAnsi="Times New Roman"/>
        <w:color w:val="7F7F7F"/>
        <w:sz w:val="18"/>
        <w:szCs w:val="18"/>
        <w:rtl w:val="false"/>
        <w:lang w:val="en-US" w:bidi="ar-SA"/>
      </w:rPr>
      <w:t xml:space="preserve">2026 </w:t>
    </w:r>
    <w:r>
      <w:rPr>
        <w:rFonts w:ascii="Times New Roman" w:cs="Times New Roman" w:eastAsia="Times New Roman" w:hAnsi="Times New Roman"/>
        <w:b/>
        <w:bCs/>
        <w:color w:val="A9761E"/>
        <w:sz w:val="18"/>
        <w:szCs w:val="18"/>
        <w:rtl w:val="false"/>
        <w:lang w:val="en-US" w:bidi="ar-SA"/>
      </w:rPr>
      <w:t xml:space="preserve">Random.MEd</w:t>
    </w:r>
    <w:r>
      <w:rPr>
        <w:rFonts w:ascii="Times New Roman" w:cs="Simplified Arabic" w:eastAsia="Simplified Arabic" w:hAnsi="Times New Roman"/>
        <w:color w:val="7F7F7F"/>
        <w:sz w:val="18"/>
        <w:szCs w:val="18"/>
        <w:rtl/>
        <w:lang w:val="ar-SA" w:bidi="ar-SA"/>
      </w:rPr>
      <w:t xml:space="preserve"> — جميع الحقوق محفوظة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49A" w:sz="6" w:space="4"/>
      </w:pBdr>
      <w:bidi/>
      <w:spacing w:after="0"/>
    </w:pPr>
    <w:r>
      <w:drawing>
        <wp:anchor distT="0" distB="0" distL="0" distR="0" simplePos="0" allowOverlap="1" behindDoc="1" locked="0" layoutInCell="1" relativeHeight="30480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048000"/>
          <wp:effectExtent t="0" r="0" b="0" l="0"/>
          <wp:wrapNone/>
          <wp:docPr id="2" name="watermark" descr="Random.MEd" title="علامة مائي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04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28600" cy="190500"/>
          <wp:effectExtent t="0" r="0" b="0" l="0"/>
          <wp:docPr id="3" name="logo" descr="شعار Random.MEd" title="Random.M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Simplified Arabic" w:eastAsia="Simplified Arabic" w:hAnsi="Times New Roman"/>
        <w:sz w:val="20"/>
        <w:szCs w:val="20"/>
        <w:rtl/>
        <w:lang w:val="ar-SA" w:bidi="ar-SA"/>
      </w:rPr>
      <w:t xml:space="preserve">  </w:t>
    </w:r>
    <w:r>
      <w:rPr>
        <w:rFonts w:ascii="Times New Roman" w:cs="Simplified Arabic" w:eastAsia="Simplified Arabic" w:hAnsi="Times New Roman"/>
        <w:color w:val="7F7F7F"/>
        <w:sz w:val="20"/>
        <w:szCs w:val="20"/>
        <w:rtl/>
        <w:lang w:val="ar-SA" w:bidi="ar-SA"/>
      </w:rPr>
      <w:t xml:space="preserve">مبادئ الطب الشرعي والقضائي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start="360" w:left="360" w:hanging="280"/>
      </w:pPr>
      <w:rPr>
        <w:rFonts w:ascii="Arial" w:cs="Arial" w:hAnsi="Arial"/>
        <w:color w:val="A9761E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start="760" w:left="760" w:hanging="280"/>
      </w:pPr>
      <w:rPr>
        <w:rFonts w:ascii="Arial" w:cs="Arial" w:hAnsi="Arial"/>
        <w:color w:val="A9761E"/>
        <w:sz w:val="18"/>
        <w:szCs w:val="18"/>
      </w:rPr>
    </w:lvl>
    <w:lvl w:ilvl="2" w15:tentative="1">
      <w:start w:val="1"/>
      <w:numFmt w:val="bullet"/>
      <w:lvlText w:val="■"/>
      <w:lvlJc w:val="left"/>
      <w:pPr>
        <w:ind w:start="1160" w:left="1160" w:hanging="280"/>
      </w:pPr>
      <w:rPr>
        <w:rFonts w:ascii="Arial" w:cs="Arial" w:hAnsi="Arial"/>
        <w:color w:val="A9761E"/>
        <w:sz w:val="18"/>
        <w:szCs w:val="18"/>
      </w:rPr>
    </w:lvl>
    <w:lvl w:ilvl="3" w15:tentative="1">
      <w:start w:val="1"/>
      <w:numFmt w:val="bullet"/>
      <w:lvlText w:val="▪"/>
      <w:lvlJc w:val="left"/>
      <w:pPr>
        <w:ind w:start="1560" w:left="1560" w:hanging="280"/>
      </w:pPr>
      <w:rPr>
        <w:rFonts w:ascii="Arial" w:cs="Arial" w:hAnsi="Arial"/>
        <w:color w:val="A9761E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Simplified Arabic" w:eastAsia="Simplified Arabic" w:hAnsi="Times New Roman"/>
        <w:sz w:val="24"/>
        <w:szCs w:val="24"/>
        <w:lang w:val="ar-SA" w:bidi="ar-SA"/>
      </w:rPr>
    </w:rPrDefault>
    <w:pPrDefault>
      <w:pPr>
        <w:bidi/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bidi/>
    </w:pPr>
    <w:rPr>
      <w:rFonts w:ascii="Times New Roman" w:cs="Simplified Arabic" w:hAnsi="Times New Roman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bidi/>
    </w:pPr>
    <w:rPr>
      <w:rFonts w:ascii="Times New Roman" w:cs="Simplified Arabic" w:hAnsi="Times New Roman"/>
      <w:b/>
      <w:bCs/>
      <w:color w:val="141B2E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bidi/>
    </w:pPr>
    <w:rPr>
      <w:rFonts w:ascii="Times New Roman" w:cs="Simplified Arabic" w:hAnsi="Times New Roman"/>
      <w:b/>
      <w:bCs/>
      <w:color w:val="146B5D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keepLines/>
      <w:bidi/>
    </w:pPr>
    <w:rPr>
      <w:rFonts w:ascii="Times New Roman" w:cs="Simplified Arabic" w:hAnsi="Times New Roman"/>
      <w:b/>
      <w:bCs/>
      <w:color w:val="8A5E1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f306ae622f2cc25b19565ef61d169f20574a751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306ae622f2cc25b19565ef61d169f20574a75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مبادئ الطب الشرعي والقضائي</dc:title>
  <dc:creator>Random.MEd</dc:creator>
  <cp:lastModifiedBy>Random.MEd</cp:lastModifiedBy>
  <cp:revision>1</cp:revision>
  <dcterms:created xsi:type="dcterms:W3CDTF">2026-10-09T07:52:16.356Z</dcterms:created>
  <dcterms:modified xsi:type="dcterms:W3CDTF">2026-10-09T07:52:16.357Z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