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SYRIAN PRIVATE UNIVERSITY</w:t>
      </w:r>
    </w:p>
    <w:p>
      <w:pPr>
        <w:jc w:val="center"/>
      </w:pPr>
      <w:r>
        <w:rPr>
          <w:b/>
          <w:sz w:val="36"/>
        </w:rPr>
        <w:t>الجامعة السورية الخاصة</w:t>
      </w:r>
    </w:p>
    <w:p>
      <w:pPr>
        <w:jc w:val="center"/>
      </w:pPr>
      <w:r>
        <w:rPr>
          <w:b w:val="0"/>
          <w:sz w:val="28"/>
        </w:rPr>
        <w:t>Faculty of Medicine — Pharmacology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9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Dr. Ahmad Saleh — د. أحمد صالح</w:t>
      </w:r>
    </w:p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Opioid analgesics ......... 2</w:t>
      </w:r>
    </w:p>
    <w:p>
      <w:r>
        <w:t>المسكنات الأفيونية ......... 3</w:t>
      </w:r>
      <w:r>
        <w:fldChar w:fldCharType="end"/>
      </w:r>
    </w:p>
    <w:p>
      <w:r>
        <w:rPr>
          <w:b/>
          <w:sz w:val="32"/>
        </w:rPr>
        <w:t>أولاً: المسكنات الأفيونية (Opioid Analgesics)</w:t>
      </w:r>
    </w:p>
    <w:p>
      <w:r>
        <w:rPr>
          <w:b w:val="0"/>
          <w:sz w:val="24"/>
        </w:rPr>
        <w:t>هي مجموعة من الأدوية تعمل على مستقبلات µ و κ و δ في الجهاز العصبي المركزي، وتستخدم لتسكين الألم الشديد بجرعة 5 - 10 mg كل 4 ساعات.</w:t>
      </w:r>
    </w:p>
    <w:p>
      <w:r>
        <w:rPr>
          <w:b/>
          <w:sz w:val="28"/>
        </w:rPr>
        <w:t>1. المورفين (Morphine)</w:t>
      </w:r>
    </w:p>
    <w:p>
      <w:r>
        <w:rPr>
          <w:b w:val="0"/>
          <w:sz w:val="24"/>
        </w:rPr>
        <w:t>[هام جداً] يسبب المورفين تثبيط التنفس (Respiratory Depression) وهو السبب الأشيع للوفاة بنسبة 80% من حالات التسمم.</w:t>
      </w:r>
    </w:p>
    <w:p>
      <w:r>
        <w:rPr>
          <w:b w:val="0"/>
          <w:sz w:val="24"/>
        </w:rPr>
        <w:t>Morphine is the prototype opioid agonist; its oral bioavailability is about 25%.</w:t>
      </w:r>
    </w:p>
    <w:p>
      <w:pPr>
        <w:pStyle w:val="ListBullet"/>
      </w:pPr>
      <w:r>
        <w:t>تضيق الحدقة (Miosis)</w:t>
      </w:r>
    </w:p>
    <w:p>
      <w:pPr>
        <w:pStyle w:val="ListBullet"/>
      </w:pPr>
      <w:r>
        <w:t>الإمساك (Constipation)</w:t>
      </w:r>
    </w:p>
    <w:p>
      <w:pPr>
        <w:pStyle w:val="ListBullet"/>
      </w:pPr>
      <w:r>
        <w:t>الغثيان والإقياء</w:t>
      </w:r>
    </w:p>
    <w:p>
      <w:pPr>
        <w:pStyle w:val="ListNumber"/>
      </w:pPr>
      <w:r>
        <w:t>Mu receptors (µ)</w:t>
      </w:r>
    </w:p>
    <w:p>
      <w:pPr>
        <w:pStyle w:val="ListNumber"/>
      </w:pPr>
      <w:r>
        <w:t>Kappa receptors (κ)</w:t>
      </w:r>
    </w:p>
    <w:p>
      <w:pPr>
        <w:pStyle w:val="ListNumber"/>
      </w:pPr>
      <w:r>
        <w:t>Delta receptors (δ)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الاستطباب</w:t>
            </w:r>
          </w:p>
        </w:tc>
      </w:tr>
      <w:tr>
        <w:tc>
          <w:tcPr>
            <w:tcW w:type="dxa" w:w="2880"/>
          </w:tcPr>
          <w:p>
            <w:r>
              <w:t>Morphine</w:t>
            </w:r>
          </w:p>
        </w:tc>
        <w:tc>
          <w:tcPr>
            <w:tcW w:type="dxa" w:w="2880"/>
          </w:tcPr>
          <w:p>
            <w:r>
              <w:t>10 mg IV</w:t>
            </w:r>
          </w:p>
        </w:tc>
        <w:tc>
          <w:tcPr>
            <w:tcW w:type="dxa" w:w="2880"/>
          </w:tcPr>
          <w:p>
            <w:r>
              <w:t>الألم الشديد بعد العمليات</w:t>
            </w:r>
          </w:p>
        </w:tc>
      </w:tr>
      <w:tr>
        <w:tc>
          <w:tcPr>
            <w:tcW w:type="dxa" w:w="2880"/>
          </w:tcPr>
          <w:p>
            <w:r>
              <w:t>Codeine</w:t>
            </w:r>
          </w:p>
        </w:tc>
        <w:tc>
          <w:tcPr>
            <w:tcW w:type="dxa" w:w="2880"/>
          </w:tcPr>
          <w:p>
            <w:r>
              <w:t>30 - 60 mg</w:t>
            </w:r>
          </w:p>
        </w:tc>
        <w:tc>
          <w:tcPr>
            <w:tcW w:type="dxa" w:w="2880"/>
          </w:tcPr>
          <w:p>
            <w:r>
              <w:t>السعال الجاف</w:t>
            </w:r>
          </w:p>
        </w:tc>
      </w:tr>
      <w:tr>
        <w:tc>
          <w:tcPr>
            <w:tcW w:type="dxa" w:w="2880"/>
          </w:tcPr>
          <w:p>
            <w:r>
              <w:t>Fentanyl</w:t>
            </w:r>
          </w:p>
        </w:tc>
        <w:tc>
          <w:tcPr>
            <w:tcW w:type="dxa" w:w="2880"/>
          </w:tcPr>
          <w:p>
            <w:r>
              <w:t>50 µg</w:t>
            </w:r>
          </w:p>
        </w:tc>
        <w:tc>
          <w:tcPr>
            <w:tcW w:type="dxa" w:w="2880"/>
          </w:tcPr>
          <w:p>
            <w:r>
              <w:t>التخدير العام</w:t>
            </w:r>
          </w:p>
        </w:tc>
      </w:tr>
    </w:tbl>
    <w:p>
      <w:r>
        <w:rPr>
          <w:b/>
          <w:sz w:val="32"/>
        </w:rPr>
        <w:t>ثانياً: مضادات الصرع</w:t>
      </w:r>
    </w:p>
    <w:p>
      <w:r>
        <w:rPr>
          <w:b/>
          <w:sz w:val="28"/>
        </w:rPr>
        <w:t>2. الفينيتوئين (Phenytoin)</w:t>
      </w:r>
    </w:p>
    <w:p>
      <w:r>
        <w:rPr>
          <w:b w:val="0"/>
          <w:sz w:val="24"/>
        </w:rPr>
        <w:t>يحصر قنوات الصوديوم (Na+ channels) المعتمدة على الجهد، ونصف عمره 24 - 48 ساعة.</w:t>
      </w:r>
    </w:p>
    <w:p>
      <w:r>
        <w:drawing>
          <wp:inline xmlns:a="http://schemas.openxmlformats.org/drawingml/2006/main" xmlns:pic="http://schemas.openxmlformats.org/drawingml/2006/picture">
            <wp:extent cx="3600000" cy="23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الشكل 1: آلية عمل الفينيتوئين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81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8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Label key: A = sodium channel; B = membrane — مفتاح: أ = قناة الصوديوم</w:t>
            </w:r>
          </w:p>
        </w:tc>
      </w:tr>
    </w:tbl>
    <w:p xmlns:a="http://schemas.openxmlformats.org/drawingml/2006/main">
      <w:r>
        <mc:AlternateContent>
          <mc:Choice Requires="wps">
            <w:drawing>
              <wp:inline distT="0" distB="0" distL="0" distR="0">
                <wp:extent cx="3600000" cy="600000"/>
                <wp:docPr id="99" name="Text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6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ملاحظة في مربع نص: لا تُعطِ المورفين لمرضى الربو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t>ملاحظة في مربع نص</w:t>
          </mc:Fallback>
        </mc:AlternateContent>
      </w:r>
    </w:p>
    <w:p>
      <w:r>
        <w:rPr>
          <w:b w:val="0"/>
          <w:sz w:val="24"/>
        </w:rPr>
        <w:t>💡 خلاصة: راجع جرعات المسكنات قبل الامتحان.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Pharmacology — CNS | علم الأدوية — الجهاز العصبي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